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rPr>
          <w:rFonts w:hint="default" w:ascii="Times New Roman" w:hAnsi="Times New Roman" w:eastAsia="仿宋_GB2312" w:cs="Times New Roman"/>
          <w:color w:val="000000" w:themeColor="text1"/>
          <w:sz w:val="48"/>
          <w:szCs w:val="48"/>
          <w14:textFill>
            <w14:solidFill>
              <w14:schemeClr w14:val="tx1"/>
            </w14:solidFill>
          </w14:textFill>
        </w:rPr>
      </w:pPr>
    </w:p>
    <w:p>
      <w:pPr>
        <w:ind w:firstLine="960"/>
        <w:rPr>
          <w:rFonts w:hint="default" w:ascii="Times New Roman" w:hAnsi="Times New Roman" w:eastAsia="仿宋_GB2312" w:cs="Times New Roman"/>
          <w:color w:val="000000" w:themeColor="text1"/>
          <w:sz w:val="48"/>
          <w:szCs w:val="48"/>
          <w14:textFill>
            <w14:solidFill>
              <w14:schemeClr w14:val="tx1"/>
            </w14:solidFill>
          </w14:textFill>
        </w:rPr>
      </w:pPr>
    </w:p>
    <w:p>
      <w:pPr>
        <w:ind w:firstLine="960"/>
        <w:rPr>
          <w:rFonts w:hint="default" w:ascii="Times New Roman" w:hAnsi="Times New Roman" w:eastAsia="仿宋_GB2312" w:cs="Times New Roman"/>
          <w:color w:val="000000" w:themeColor="text1"/>
          <w:sz w:val="48"/>
          <w:szCs w:val="48"/>
          <w14:textFill>
            <w14:solidFill>
              <w14:schemeClr w14:val="tx1"/>
            </w14:solidFill>
          </w14:textFill>
        </w:rPr>
      </w:pPr>
    </w:p>
    <w:p>
      <w:pPr>
        <w:ind w:firstLine="960"/>
        <w:rPr>
          <w:rFonts w:hint="default" w:ascii="Times New Roman" w:hAnsi="Times New Roman" w:eastAsia="仿宋_GB2312" w:cs="Times New Roman"/>
          <w:color w:val="000000" w:themeColor="text1"/>
          <w:sz w:val="48"/>
          <w:szCs w:val="48"/>
          <w14:textFill>
            <w14:solidFill>
              <w14:schemeClr w14:val="tx1"/>
            </w14:solidFill>
          </w14:textFill>
        </w:rPr>
      </w:pPr>
    </w:p>
    <w:p>
      <w:pPr>
        <w:ind w:firstLine="960"/>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r>
        <w:rPr>
          <w:rFonts w:hint="default" w:ascii="Times New Roman" w:hAnsi="Times New Roman" w:eastAsia="仿宋_GB2312" w:cs="Times New Roman"/>
          <w:color w:val="000000" w:themeColor="text1"/>
          <w:sz w:val="48"/>
          <w:szCs w:val="48"/>
          <w14:textFill>
            <w14:solidFill>
              <w14:schemeClr w14:val="tx1"/>
            </w14:solidFill>
          </w14:textFill>
        </w:rPr>
        <w:t>浙江莫干山食业有限公司</w:t>
      </w: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r>
        <w:rPr>
          <w:rFonts w:hint="default" w:ascii="Times New Roman" w:hAnsi="Times New Roman" w:eastAsia="仿宋_GB2312" w:cs="Times New Roman"/>
          <w:color w:val="000000" w:themeColor="text1"/>
          <w:sz w:val="48"/>
          <w:szCs w:val="48"/>
          <w14:textFill>
            <w14:solidFill>
              <w14:schemeClr w14:val="tx1"/>
            </w14:solidFill>
          </w14:textFill>
        </w:rPr>
        <w:t>仙谭豆腐碳足迹评价报告</w:t>
      </w: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48"/>
          <w:szCs w:val="48"/>
          <w14:textFill>
            <w14:solidFill>
              <w14:schemeClr w14:val="tx1"/>
            </w14:solidFill>
          </w14:textFill>
        </w:rPr>
      </w:pPr>
    </w:p>
    <w:p>
      <w:pPr>
        <w:spacing w:before="156" w:beforeLines="50" w:after="156" w:afterLines="50" w:line="480" w:lineRule="auto"/>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浙江莫干山食业有限公司</w:t>
      </w:r>
    </w:p>
    <w:p>
      <w:pPr>
        <w:spacing w:before="156" w:beforeLines="50" w:after="156" w:afterLines="50" w:line="480" w:lineRule="auto"/>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报告日期：202</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5</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16</w:t>
      </w:r>
      <w:r>
        <w:rPr>
          <w:rFonts w:hint="default" w:ascii="Times New Roman" w:hAnsi="Times New Roman" w:eastAsia="仿宋_GB2312" w:cs="Times New Roman"/>
          <w:color w:val="000000" w:themeColor="text1"/>
          <w:sz w:val="28"/>
          <w:szCs w:val="28"/>
          <w14:textFill>
            <w14:solidFill>
              <w14:schemeClr w14:val="tx1"/>
            </w14:solidFill>
          </w14:textFill>
        </w:rPr>
        <w:t>日</w:t>
      </w:r>
    </w:p>
    <w:p>
      <w:pPr>
        <w:spacing w:before="156" w:beforeLines="50" w:after="156" w:afterLines="50" w:line="480" w:lineRule="auto"/>
        <w:jc w:val="center"/>
        <w:rPr>
          <w:rFonts w:hint="default" w:ascii="Times New Roman" w:hAnsi="Times New Roman" w:eastAsia="仿宋_GB2312" w:cs="Times New Roman"/>
          <w:color w:val="000000" w:themeColor="text1"/>
          <w:sz w:val="28"/>
          <w:szCs w:val="28"/>
          <w14:textFill>
            <w14:solidFill>
              <w14:schemeClr w14:val="tx1"/>
            </w14:solidFill>
          </w14:textFill>
        </w:rPr>
      </w:pPr>
    </w:p>
    <w:p>
      <w:pPr>
        <w:spacing w:before="156" w:beforeLines="50" w:after="156" w:afterLines="50" w:line="480" w:lineRule="auto"/>
        <w:ind w:firstLine="560"/>
        <w:jc w:val="center"/>
        <w:rPr>
          <w:rFonts w:hint="default" w:ascii="Times New Roman" w:hAnsi="Times New Roman" w:eastAsia="仿宋_GB2312" w:cs="Times New Roman"/>
          <w:color w:val="000000" w:themeColor="text1"/>
          <w:sz w:val="28"/>
          <w:szCs w:val="28"/>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p>
    <w:tbl>
      <w:tblPr>
        <w:tblStyle w:val="17"/>
        <w:tblW w:w="8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1418"/>
        <w:gridCol w:w="709"/>
        <w:gridCol w:w="1984"/>
        <w:gridCol w:w="567"/>
        <w:gridCol w:w="1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企业名称</w:t>
            </w:r>
          </w:p>
        </w:tc>
        <w:tc>
          <w:tcPr>
            <w:tcW w:w="6665" w:type="dxa"/>
            <w:gridSpan w:val="5"/>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浙江莫干山食业有限公司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企业地址</w:t>
            </w:r>
          </w:p>
        </w:tc>
        <w:tc>
          <w:tcPr>
            <w:tcW w:w="6665" w:type="dxa"/>
            <w:gridSpan w:val="5"/>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湖州市德清县新市镇工业园区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统一社会信用代码</w:t>
            </w:r>
          </w:p>
        </w:tc>
        <w:tc>
          <w:tcPr>
            <w:tcW w:w="6665" w:type="dxa"/>
            <w:gridSpan w:val="5"/>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91330521147114192N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企业性质</w:t>
            </w:r>
          </w:p>
        </w:tc>
        <w:tc>
          <w:tcPr>
            <w:tcW w:w="6665" w:type="dxa"/>
            <w:gridSpan w:val="5"/>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ab/>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有限责任公司(自然人投资或控股)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联系人</w:t>
            </w:r>
          </w:p>
        </w:tc>
        <w:tc>
          <w:tcPr>
            <w:tcW w:w="1418"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朱泉根</w:t>
            </w:r>
          </w:p>
        </w:tc>
        <w:tc>
          <w:tcPr>
            <w:tcW w:w="709"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手机</w:t>
            </w:r>
          </w:p>
        </w:tc>
        <w:tc>
          <w:tcPr>
            <w:tcW w:w="1984"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13819252629</w:t>
            </w:r>
          </w:p>
        </w:tc>
        <w:tc>
          <w:tcPr>
            <w:tcW w:w="567"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en-US"/>
                <w14:textFill>
                  <w14:solidFill>
                    <w14:schemeClr w14:val="tx1"/>
                  </w14:solidFill>
                </w14:textFill>
              </w:rPr>
              <w:t>邮箱</w:t>
            </w:r>
          </w:p>
        </w:tc>
        <w:tc>
          <w:tcPr>
            <w:tcW w:w="1987" w:type="dxa"/>
            <w:vAlign w:val="center"/>
          </w:tcPr>
          <w:p>
            <w:pPr>
              <w:autoSpaceDE w:val="0"/>
              <w:autoSpaceDN w:val="0"/>
              <w:jc w:val="cente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2" w:type="dxa"/>
            <w:vAlign w:val="center"/>
          </w:tcPr>
          <w:p>
            <w:pPr>
              <w:autoSpaceDE w:val="0"/>
              <w:autoSpaceDN w:val="0"/>
              <w:jc w:val="center"/>
              <w:rPr>
                <w:rFonts w:hint="default" w:ascii="Times New Roman" w:hAnsi="Times New Roman" w:eastAsia="仿宋_GB2312" w:cs="Times New Roman"/>
                <w:bCs/>
                <w:color w:val="000000" w:themeColor="text1"/>
                <w:kern w:val="0"/>
                <w:sz w:val="21"/>
                <w:szCs w:val="21"/>
                <w:lang w:eastAsia="en-US"/>
                <w14:textFill>
                  <w14:solidFill>
                    <w14:schemeClr w14:val="tx1"/>
                  </w14:solidFill>
                </w14:textFill>
              </w:rPr>
            </w:pPr>
            <w:r>
              <w:rPr>
                <w:rFonts w:hint="default" w:ascii="Times New Roman" w:hAnsi="Times New Roman" w:eastAsia="仿宋_GB2312" w:cs="Times New Roman"/>
                <w:bCs/>
                <w:color w:val="000000" w:themeColor="text1"/>
                <w:kern w:val="0"/>
                <w:sz w:val="21"/>
                <w:szCs w:val="21"/>
                <w:lang w:eastAsia="zh-CN"/>
                <w14:textFill>
                  <w14:solidFill>
                    <w14:schemeClr w14:val="tx1"/>
                  </w14:solidFill>
                </w14:textFill>
              </w:rPr>
              <w:t>评价标准</w:t>
            </w:r>
          </w:p>
        </w:tc>
        <w:tc>
          <w:tcPr>
            <w:tcW w:w="6665" w:type="dxa"/>
            <w:gridSpan w:val="5"/>
            <w:vAlign w:val="center"/>
          </w:tcPr>
          <w:p>
            <w:pPr>
              <w:autoSpaceDE w:val="0"/>
              <w:autoSpaceDN w:val="0"/>
              <w:jc w:val="left"/>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1.PAS</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2050</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2011《商品和服务在生命周期内的温室气体排放评价规范》</w:t>
            </w:r>
          </w:p>
          <w:p>
            <w:pPr>
              <w:autoSpaceDE w:val="0"/>
              <w:autoSpaceDN w:val="0"/>
              <w:jc w:val="left"/>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ISO</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14067</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2018《温室气体－产品碳足迹－量化要求和指南》</w:t>
            </w:r>
          </w:p>
          <w:p>
            <w:pPr>
              <w:autoSpaceDE w:val="0"/>
              <w:autoSpaceDN w:val="0"/>
              <w:jc w:val="left"/>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3.GB/T</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24040-2008《环境管理 生命周期评价 原则与框架》</w:t>
            </w:r>
          </w:p>
          <w:p>
            <w:pPr>
              <w:autoSpaceDE w:val="0"/>
              <w:autoSpaceDN w:val="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4.GB/T</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24044-2008《环境管理 生命周期评价 要求与指南》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427" w:type="dxa"/>
            <w:gridSpan w:val="6"/>
            <w:vAlign w:val="center"/>
          </w:tcPr>
          <w:p>
            <w:pPr>
              <w:tabs>
                <w:tab w:val="left" w:pos="487"/>
              </w:tabs>
              <w:autoSpaceDE w:val="0"/>
              <w:autoSpaceDN w:val="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核算结论：</w:t>
            </w:r>
          </w:p>
          <w:p>
            <w:pPr>
              <w:tabs>
                <w:tab w:val="left" w:pos="487"/>
              </w:tabs>
              <w:autoSpaceDE w:val="0"/>
              <w:autoSpaceDN w:val="0"/>
              <w:spacing w:line="360" w:lineRule="auto"/>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浙江莫干山食业有限公司</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202</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年</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7-12月</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公司仙谭豆腐碳足迹排放量核算，确认如下：</w:t>
            </w:r>
          </w:p>
          <w:p>
            <w:pPr>
              <w:tabs>
                <w:tab w:val="left" w:pos="487"/>
              </w:tabs>
              <w:autoSpaceDE w:val="0"/>
              <w:autoSpaceDN w:val="0"/>
              <w:spacing w:line="360" w:lineRule="auto"/>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（1）核算标准中所要求的内容已在本次工作中覆盖：</w:t>
            </w:r>
          </w:p>
          <w:p>
            <w:pPr>
              <w:tabs>
                <w:tab w:val="left" w:pos="487"/>
              </w:tabs>
              <w:autoSpaceDE w:val="0"/>
              <w:autoSpaceDN w:val="0"/>
              <w:spacing w:line="360" w:lineRule="auto"/>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bookmarkStart w:id="0" w:name="OLE_LINK15"/>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工作组确认此次产品碳足迹报告符合PAS</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2050</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2011《商品和服务在生命周期内的温室气体排放评价规范》</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、ISO</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14067</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2018《温室气体－产品碳足迹－量化要求和指南》、GB/T</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24040-2008《环境管理 生命周期评价 原则与框架》、GB/T</w:t>
            </w:r>
            <w:r>
              <w:rPr>
                <w:rFonts w:hint="default" w:ascii="Times New Roman" w:hAnsi="Times New Roman" w:eastAsia="仿宋_GB2312" w:cs="Times New Roman"/>
                <w:color w:val="000000" w:themeColor="text1"/>
                <w:kern w:val="0"/>
                <w:sz w:val="22"/>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2"/>
                <w:szCs w:val="21"/>
                <w:lang w:eastAsia="zh-CN"/>
                <w14:textFill>
                  <w14:solidFill>
                    <w14:schemeClr w14:val="tx1"/>
                  </w14:solidFill>
                </w14:textFill>
              </w:rPr>
              <w:t>24044-2008《环境管理 生命周期评价 要求与指南》的要求。</w:t>
            </w:r>
          </w:p>
          <w:p>
            <w:pPr>
              <w:tabs>
                <w:tab w:val="left" w:pos="487"/>
              </w:tabs>
              <w:autoSpaceDE w:val="0"/>
              <w:autoSpaceDN w:val="0"/>
              <w:spacing w:line="360" w:lineRule="auto"/>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（2）系统边界</w:t>
            </w:r>
          </w:p>
          <w:p>
            <w:pPr>
              <w:tabs>
                <w:tab w:val="left" w:pos="487"/>
              </w:tabs>
              <w:autoSpaceDE w:val="0"/>
              <w:autoSpaceDN w:val="0"/>
              <w:spacing w:line="360" w:lineRule="auto"/>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本</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次产品碳足迹评价的</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系统边界为</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“摇篮到大门”，包括原材料获取及运输阶段、生产阶段。</w:t>
            </w:r>
          </w:p>
          <w:bookmarkEnd w:id="0"/>
          <w:tbl>
            <w:tblPr>
              <w:tblStyle w:val="10"/>
              <w:tblpPr w:leftFromText="180" w:rightFromText="180" w:vertAnchor="text" w:horzAnchor="margin" w:tblpXSpec="center" w:tblpY="432"/>
              <w:tblOverlap w:val="never"/>
              <w:tblW w:w="7395" w:type="dxa"/>
              <w:tblInd w:w="0" w:type="dxa"/>
              <w:tblLayout w:type="fixed"/>
              <w:tblCellMar>
                <w:top w:w="0" w:type="dxa"/>
                <w:left w:w="108" w:type="dxa"/>
                <w:bottom w:w="0" w:type="dxa"/>
                <w:right w:w="108" w:type="dxa"/>
              </w:tblCellMar>
            </w:tblPr>
            <w:tblGrid>
              <w:gridCol w:w="3539"/>
              <w:gridCol w:w="3856"/>
            </w:tblGrid>
            <w:tr>
              <w:tblPrEx>
                <w:tblCellMar>
                  <w:top w:w="0" w:type="dxa"/>
                  <w:left w:w="108" w:type="dxa"/>
                  <w:bottom w:w="0" w:type="dxa"/>
                  <w:right w:w="108" w:type="dxa"/>
                </w:tblCellMar>
              </w:tblPrEx>
              <w:trPr>
                <w:trHeight w:val="295" w:hRule="atLeast"/>
              </w:trPr>
              <w:tc>
                <w:tcPr>
                  <w:tcW w:w="35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b/>
                      <w:bCs/>
                      <w:color w:val="000000" w:themeColor="text1"/>
                      <w:kern w:val="0"/>
                      <w:szCs w:val="21"/>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202</w:t>
                  </w:r>
                  <w:r>
                    <w:rPr>
                      <w:rFonts w:hint="default" w:ascii="Times New Roman" w:hAnsi="Times New Roman" w:eastAsia="仿宋_GB2312" w:cs="Times New Roman"/>
                      <w:b/>
                      <w:bCs/>
                      <w:color w:val="000000" w:themeColor="text1"/>
                      <w:kern w:val="0"/>
                      <w:szCs w:val="21"/>
                      <w:lang w:val="en-US" w:eastAsia="zh-CN"/>
                      <w14:textFill>
                        <w14:solidFill>
                          <w14:schemeClr w14:val="tx1"/>
                        </w14:solidFill>
                      </w14:textFill>
                    </w:rPr>
                    <w:t>4年7-12月</w:t>
                  </w:r>
                </w:p>
              </w:tc>
              <w:tc>
                <w:tcPr>
                  <w:tcW w:w="385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b/>
                      <w:bCs/>
                      <w:color w:val="000000" w:themeColor="text1"/>
                      <w:kern w:val="0"/>
                      <w:szCs w:val="21"/>
                      <w14:textFill>
                        <w14:solidFill>
                          <w14:schemeClr w14:val="tx1"/>
                        </w14:solidFill>
                      </w14:textFill>
                    </w:rPr>
                  </w:pPr>
                  <w:r>
                    <w:rPr>
                      <w:rFonts w:hint="default" w:ascii="Times New Roman" w:hAnsi="Times New Roman" w:eastAsia="仿宋_GB2312" w:cs="Times New Roman"/>
                      <w:b/>
                      <w:bCs/>
                      <w:color w:val="000000" w:themeColor="text1"/>
                      <w:kern w:val="0"/>
                      <w:szCs w:val="21"/>
                      <w14:textFill>
                        <w14:solidFill>
                          <w14:schemeClr w14:val="tx1"/>
                        </w14:solidFill>
                      </w14:textFill>
                    </w:rPr>
                    <w:t>产品</w:t>
                  </w:r>
                  <w:r>
                    <w:rPr>
                      <w:rFonts w:hint="default" w:ascii="Times New Roman" w:hAnsi="Times New Roman" w:eastAsia="仿宋_GB2312" w:cs="Times New Roman"/>
                      <w:b/>
                      <w:bCs/>
                      <w:color w:val="000000" w:themeColor="text1"/>
                      <w:kern w:val="0"/>
                      <w:szCs w:val="21"/>
                      <w:lang w:val="en-US" w:eastAsia="zh-CN"/>
                      <w14:textFill>
                        <w14:solidFill>
                          <w14:schemeClr w14:val="tx1"/>
                        </w14:solidFill>
                      </w14:textFill>
                    </w:rPr>
                    <w:t>碳足迹</w:t>
                  </w:r>
                  <w:r>
                    <w:rPr>
                      <w:rFonts w:hint="default" w:ascii="Times New Roman" w:hAnsi="Times New Roman" w:eastAsia="仿宋_GB2312" w:cs="Times New Roman"/>
                      <w:b/>
                      <w:bCs/>
                      <w:color w:val="000000" w:themeColor="text1"/>
                      <w:kern w:val="0"/>
                      <w:szCs w:val="21"/>
                      <w14:textFill>
                        <w14:solidFill>
                          <w14:schemeClr w14:val="tx1"/>
                        </w14:solidFill>
                      </w14:textFill>
                    </w:rPr>
                    <w:t>（kgCO</w:t>
                  </w:r>
                  <w:r>
                    <w:rPr>
                      <w:rFonts w:hint="default" w:ascii="Times New Roman" w:hAnsi="Times New Roman" w:eastAsia="仿宋_GB2312" w:cs="Times New Roman"/>
                      <w:b/>
                      <w:bCs/>
                      <w:color w:val="000000" w:themeColor="text1"/>
                      <w:kern w:val="0"/>
                      <w:szCs w:val="21"/>
                      <w:vertAlign w:val="subscript"/>
                      <w14:textFill>
                        <w14:solidFill>
                          <w14:schemeClr w14:val="tx1"/>
                        </w14:solidFill>
                      </w14:textFill>
                    </w:rPr>
                    <w:t>2</w:t>
                  </w:r>
                  <w:r>
                    <w:rPr>
                      <w:rFonts w:hint="default" w:ascii="Times New Roman" w:hAnsi="Times New Roman" w:eastAsia="仿宋_GB2312" w:cs="Times New Roman"/>
                      <w:b/>
                      <w:bCs/>
                      <w:color w:val="000000" w:themeColor="text1"/>
                      <w:kern w:val="0"/>
                      <w:szCs w:val="21"/>
                      <w14:textFill>
                        <w14:solidFill>
                          <w14:schemeClr w14:val="tx1"/>
                        </w14:solidFill>
                      </w14:textFill>
                    </w:rPr>
                    <w:t>e/</w:t>
                  </w:r>
                  <w:r>
                    <w:rPr>
                      <w:rFonts w:hint="default" w:ascii="Times New Roman" w:hAnsi="Times New Roman" w:eastAsia="仿宋_GB2312" w:cs="Times New Roman"/>
                      <w:b/>
                      <w:bCs/>
                      <w:color w:val="000000" w:themeColor="text1"/>
                      <w:kern w:val="0"/>
                      <w:szCs w:val="21"/>
                      <w:lang w:val="en-US" w:eastAsia="zh-CN"/>
                      <w14:textFill>
                        <w14:solidFill>
                          <w14:schemeClr w14:val="tx1"/>
                        </w14:solidFill>
                      </w14:textFill>
                    </w:rPr>
                    <w:t>kg</w:t>
                  </w:r>
                  <w:r>
                    <w:rPr>
                      <w:rFonts w:hint="default" w:ascii="Times New Roman" w:hAnsi="Times New Roman" w:eastAsia="仿宋_GB2312" w:cs="Times New Roman"/>
                      <w:b/>
                      <w:bCs/>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95" w:hRule="atLeast"/>
              </w:trPr>
              <w:tc>
                <w:tcPr>
                  <w:tcW w:w="35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lang w:val="en-US" w:eastAsia="zh-CN"/>
                      <w14:textFill>
                        <w14:solidFill>
                          <w14:schemeClr w14:val="tx1"/>
                        </w14:solidFill>
                      </w14:textFill>
                    </w:rPr>
                    <w:t>1kg</w:t>
                  </w:r>
                  <w:r>
                    <w:rPr>
                      <w:rFonts w:hint="default" w:ascii="Times New Roman" w:hAnsi="Times New Roman" w:eastAsia="仿宋_GB2312" w:cs="Times New Roman"/>
                      <w:color w:val="000000" w:themeColor="text1"/>
                      <w:kern w:val="0"/>
                      <w:szCs w:val="21"/>
                      <w14:textFill>
                        <w14:solidFill>
                          <w14:schemeClr w14:val="tx1"/>
                        </w14:solidFill>
                      </w14:textFill>
                    </w:rPr>
                    <w:t>仙谭豆腐</w:t>
                  </w:r>
                </w:p>
              </w:tc>
              <w:tc>
                <w:tcPr>
                  <w:tcW w:w="385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2"/>
                      <w:szCs w:val="22"/>
                      <w:u w:val="none"/>
                      <w:lang w:val="en-US" w:eastAsia="zh-CN" w:bidi="ar-SA"/>
                      <w14:textFill>
                        <w14:solidFill>
                          <w14:schemeClr w14:val="tx1"/>
                        </w14:solidFill>
                      </w14:textFill>
                    </w:rPr>
                    <w:t>523.6009</w:t>
                  </w:r>
                </w:p>
              </w:tc>
            </w:tr>
          </w:tbl>
          <w:p>
            <w:pPr>
              <w:tabs>
                <w:tab w:val="left" w:pos="487"/>
              </w:tabs>
              <w:autoSpaceDE w:val="0"/>
              <w:autoSpaceDN w:val="0"/>
              <w:ind w:firstLine="420" w:firstLineChars="200"/>
              <w:jc w:val="left"/>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（3）单位产品碳排放量为：</w:t>
            </w:r>
          </w:p>
          <w:p>
            <w:pPr>
              <w:tabs>
                <w:tab w:val="left" w:pos="487"/>
              </w:tabs>
              <w:autoSpaceDE w:val="0"/>
              <w:autoSpaceDN w:val="0"/>
              <w:spacing w:line="360" w:lineRule="auto"/>
              <w:ind w:firstLine="422" w:firstLineChars="200"/>
              <w:jc w:val="left"/>
              <w:rPr>
                <w:rFonts w:hint="default" w:ascii="Times New Roman" w:hAnsi="Times New Roman" w:eastAsia="仿宋_GB2312" w:cs="Times New Roman"/>
                <w:b/>
                <w:bCs/>
                <w:color w:val="000000" w:themeColor="text1"/>
                <w:kern w:val="0"/>
                <w:sz w:val="21"/>
                <w:szCs w:val="21"/>
                <w:lang w:eastAsia="zh-CN"/>
                <w14:textFill>
                  <w14:solidFill>
                    <w14:schemeClr w14:val="tx1"/>
                  </w14:solidFill>
                </w14:textFill>
              </w:rPr>
            </w:pPr>
          </w:p>
        </w:tc>
      </w:tr>
    </w:tbl>
    <w:p>
      <w:pPr>
        <w:spacing w:before="156" w:beforeLines="50" w:after="156" w:afterLines="50" w:line="480" w:lineRule="auto"/>
        <w:ind w:firstLine="560"/>
        <w:jc w:val="center"/>
        <w:rPr>
          <w:rFonts w:hint="default" w:ascii="Times New Roman" w:hAnsi="Times New Roman" w:eastAsia="仿宋_GB2312" w:cs="Times New Roman"/>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cs="Times New Roman" w:eastAsiaTheme="minorEastAsia"/>
          <w:color w:val="000000" w:themeColor="text1"/>
          <w:kern w:val="2"/>
          <w:sz w:val="21"/>
          <w:szCs w:val="22"/>
          <w:lang w:val="zh-CN"/>
          <w14:textFill>
            <w14:solidFill>
              <w14:schemeClr w14:val="tx1"/>
            </w14:solidFill>
          </w14:textFill>
        </w:rPr>
        <w:id w:val="96685306"/>
        <w:docPartObj>
          <w:docPartGallery w:val="Table of Contents"/>
          <w:docPartUnique/>
        </w:docPartObj>
      </w:sdtPr>
      <w:sdtEndPr>
        <w:rPr>
          <w:rFonts w:hint="default" w:ascii="Times New Roman" w:hAnsi="Times New Roman" w:eastAsia="仿宋_GB2312" w:cs="Times New Roman"/>
          <w:color w:val="000000" w:themeColor="text1"/>
          <w:kern w:val="2"/>
          <w:sz w:val="21"/>
          <w:szCs w:val="22"/>
          <w:lang w:val="zh-CN"/>
          <w14:textFill>
            <w14:solidFill>
              <w14:schemeClr w14:val="tx1"/>
            </w14:solidFill>
          </w14:textFill>
        </w:rPr>
      </w:sdtEndPr>
      <w:sdtContent>
        <w:p>
          <w:pPr>
            <w:pStyle w:val="26"/>
            <w:spacing w:line="360" w:lineRule="auto"/>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6"/>
              <w:szCs w:val="36"/>
              <w:lang w:val="zh-CN"/>
              <w14:textFill>
                <w14:solidFill>
                  <w14:schemeClr w14:val="tx1"/>
                </w14:solidFill>
              </w14:textFill>
            </w:rPr>
            <w:t>目</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lang w:val="zh-CN"/>
              <w14:textFill>
                <w14:solidFill>
                  <w14:schemeClr w14:val="tx1"/>
                </w14:solidFill>
              </w14:textFill>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TOC \o "1-3" \h \z \u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sz w:val="28"/>
              <w:szCs w:val="28"/>
            </w:rPr>
            <w:instrText xml:space="preserve"> HYPERLINK \l _Toc9741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摘要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_Toc9741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_Toc5803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1 概述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_Toc5803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_Toc16129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企业及产品介绍</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_Toc16129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_Toc2013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1.2 碳足迹评价工作小组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_Toc2013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_Toc5731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1.3 参照标准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_Toc5731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_Toc25453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 目标与范围</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_Toc25453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_Toc13999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2.1 评价目标</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_Toc13999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_Toc24895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 xml:space="preserve"> 功能单位与基准流</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_Toc24895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_Toc14909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 xml:space="preserve"> 系统边界</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_Toc14909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_Toc5156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 xml:space="preserve"> 取舍原则</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_Toc5156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_Toc19192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 xml:space="preserve">5 </w:t>
          </w:r>
          <w:r>
            <w:rPr>
              <w:rFonts w:hint="default" w:ascii="Times New Roman" w:hAnsi="Times New Roman" w:eastAsia="仿宋" w:cs="Times New Roman"/>
              <w:sz w:val="28"/>
              <w:szCs w:val="28"/>
            </w:rPr>
            <w:t>影响类型和评价方法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_Toc19192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_Toc16216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rPr>
            <w:t xml:space="preserve"> 软件和数据库</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_Toc9301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 生命周期数据清单分析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_Toc9301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_Toc18675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3.1 数据收集与数据质量管理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_Toc18675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_Toc21124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3.2 计算方法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_Toc21124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_Toc14591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3.3 假设与推估</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_Toc14591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_Toc32694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3.4 原材料清单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_Toc32694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_Toc29191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3.5 产品生产过程清单</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_Toc29191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_Toc26849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3.6 碳足迹特征化因子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_Toc26849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_Toc30559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4 碳足迹评价结果</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_Toc30559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_Toc7540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4.1 碳足迹计算</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_Toc7540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_Toc30329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4.2 碳足迹分析</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_Toc30329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_Toc2515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4.3 完整性和一致性检查</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_Toc2515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begin"/>
          </w:r>
          <w:r>
            <w:rPr>
              <w:rFonts w:hint="default" w:ascii="Times New Roman" w:hAnsi="Times New Roman" w:eastAsia="仿宋" w:cs="Times New Roman"/>
              <w:sz w:val="28"/>
              <w:szCs w:val="28"/>
              <w:lang w:val="zh-CN"/>
            </w:rPr>
            <w:instrText xml:space="preserve"> HYPERLINK \l _Toc13305 </w:instrText>
          </w:r>
          <w:r>
            <w:rPr>
              <w:rFonts w:hint="default" w:ascii="Times New Roman" w:hAnsi="Times New Roman" w:eastAsia="仿宋" w:cs="Times New Roman"/>
              <w:sz w:val="28"/>
              <w:szCs w:val="28"/>
              <w:lang w:val="zh-CN"/>
            </w:rPr>
            <w:fldChar w:fldCharType="separate"/>
          </w:r>
          <w:r>
            <w:rPr>
              <w:rFonts w:hint="default" w:ascii="Times New Roman" w:hAnsi="Times New Roman" w:eastAsia="仿宋" w:cs="Times New Roman"/>
              <w:sz w:val="28"/>
              <w:szCs w:val="28"/>
            </w:rPr>
            <w:t>5 结论与建议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_Toc13305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p>
          <w:pPr>
            <w:pStyle w:val="7"/>
            <w:keepNext w:val="0"/>
            <w:keepLines w:val="0"/>
            <w:pageBreakBefore w:val="0"/>
            <w:widowControl w:val="0"/>
            <w:tabs>
              <w:tab w:val="right" w:leader="dot" w:pos="8296"/>
            </w:tabs>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lang w:val="zh-CN"/>
              <w14:textFill>
                <w14:solidFill>
                  <w14:schemeClr w14:val="tx1"/>
                </w14:solidFill>
              </w14:textFill>
            </w:rPr>
          </w:pPr>
          <w:r>
            <w:rPr>
              <w:rFonts w:hint="default" w:ascii="Times New Roman" w:hAnsi="Times New Roman" w:eastAsia="仿宋" w:cs="Times New Roman"/>
              <w:color w:val="000000" w:themeColor="text1"/>
              <w:sz w:val="28"/>
              <w:szCs w:val="28"/>
              <w:lang w:val="zh-CN"/>
              <w14:textFill>
                <w14:solidFill>
                  <w14:schemeClr w14:val="tx1"/>
                </w14:solidFill>
              </w14:textFill>
            </w:rPr>
            <w:fldChar w:fldCharType="end"/>
          </w:r>
        </w:p>
      </w:sdtContent>
    </w:sdt>
    <w:p>
      <w:pPr>
        <w:pStyle w:val="7"/>
        <w:tabs>
          <w:tab w:val="right" w:leader="dot" w:pos="8296"/>
        </w:tabs>
        <w:spacing w:line="360" w:lineRule="auto"/>
        <w:rPr>
          <w:rFonts w:hint="default" w:ascii="Times New Roman" w:hAnsi="Times New Roman" w:eastAsia="仿宋_GB2312" w:cs="Times New Roman"/>
          <w:color w:val="000000" w:themeColor="text1"/>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spacing w:after="156"/>
        <w:rPr>
          <w:rFonts w:hint="default" w:ascii="Times New Roman" w:hAnsi="Times New Roman" w:cs="Times New Roman"/>
          <w:color w:val="000000" w:themeColor="text1"/>
          <w14:textFill>
            <w14:solidFill>
              <w14:schemeClr w14:val="tx1"/>
            </w14:solidFill>
          </w14:textFill>
        </w:rPr>
      </w:pPr>
      <w:bookmarkStart w:id="1" w:name="_Toc9741"/>
      <w:r>
        <w:rPr>
          <w:rFonts w:hint="default" w:ascii="Times New Roman" w:hAnsi="Times New Roman" w:cs="Times New Roman"/>
          <w:color w:val="000000" w:themeColor="text1"/>
          <w14:textFill>
            <w14:solidFill>
              <w14:schemeClr w14:val="tx1"/>
            </w14:solidFill>
          </w14:textFill>
        </w:rPr>
        <w:t>摘要</w:t>
      </w:r>
      <w:bookmarkEnd w:id="1"/>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本研究的目的是按照国际标准组织（ISO）规定的生命周期评价(LCA)方法，计算得到</w:t>
      </w:r>
      <w:r>
        <w:rPr>
          <w:rFonts w:hint="default" w:ascii="Times New Roman" w:hAnsi="Times New Roman" w:cs="Times New Roman"/>
          <w:color w:val="000000" w:themeColor="text1"/>
          <w:lang w:eastAsia="zh-CN"/>
          <w14:textFill>
            <w14:solidFill>
              <w14:schemeClr w14:val="tx1"/>
            </w14:solidFill>
          </w14:textFill>
        </w:rPr>
        <w:t>浙江莫干山食业有限公司</w:t>
      </w:r>
      <w:r>
        <w:rPr>
          <w:rFonts w:hint="default" w:ascii="Times New Roman" w:hAnsi="Times New Roman" w:cs="Times New Roman"/>
          <w:color w:val="000000" w:themeColor="text1"/>
          <w14:textFill>
            <w14:solidFill>
              <w14:schemeClr w14:val="tx1"/>
            </w14:solidFill>
          </w14:textFill>
        </w:rPr>
        <w:t>生产的仙谭豆腐的碳足迹值。</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为了满足碳足迹第三方认证以及与各相关方沟通的需求，本研究的功能单位定义为：</w:t>
      </w:r>
      <w:bookmarkStart w:id="2" w:name="OLE_LINK14"/>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kg</w:t>
      </w:r>
      <w:bookmarkEnd w:id="2"/>
      <w:r>
        <w:rPr>
          <w:rFonts w:hint="default" w:ascii="Times New Roman" w:hAnsi="Times New Roman" w:cs="Times New Roman"/>
          <w:color w:val="000000" w:themeColor="text1"/>
          <w14:textFill>
            <w14:solidFill>
              <w14:schemeClr w14:val="tx1"/>
            </w14:solidFill>
          </w14:textFill>
        </w:rPr>
        <w:t>仙谭豆腐。研究的系统边界定义为全生命周期，其中涵盖了原材料</w:t>
      </w:r>
      <w:r>
        <w:rPr>
          <w:rFonts w:hint="default" w:ascii="Times New Roman" w:hAnsi="Times New Roman" w:cs="Times New Roman"/>
          <w:color w:val="000000" w:themeColor="text1"/>
          <w:lang w:val="en-US" w:eastAsia="zh-CN"/>
          <w14:textFill>
            <w14:solidFill>
              <w14:schemeClr w14:val="tx1"/>
            </w14:solidFill>
          </w14:textFill>
        </w:rPr>
        <w:t>获取</w:t>
      </w:r>
      <w:r>
        <w:rPr>
          <w:rFonts w:hint="default" w:ascii="Times New Roman" w:hAnsi="Times New Roman" w:cs="Times New Roman"/>
          <w:color w:val="000000" w:themeColor="text1"/>
          <w14:textFill>
            <w14:solidFill>
              <w14:schemeClr w14:val="tx1"/>
            </w14:solidFill>
          </w14:textFill>
        </w:rPr>
        <w:t>及运输阶段(</w:t>
      </w:r>
      <w:r>
        <w:rPr>
          <w:rFonts w:hint="default" w:ascii="Times New Roman" w:hAnsi="Times New Roman" w:cs="Times New Roman"/>
          <w:color w:val="000000" w:themeColor="text1"/>
          <w:lang w:val="en-US" w:eastAsia="zh-CN"/>
          <w14:textFill>
            <w14:solidFill>
              <w14:schemeClr w14:val="tx1"/>
            </w14:solidFill>
          </w14:textFill>
        </w:rPr>
        <w:t>安徽豆内脂、pp包装盒、卷膜</w:t>
      </w:r>
      <w:r>
        <w:rPr>
          <w:rFonts w:hint="default" w:ascii="Times New Roman" w:hAnsi="Times New Roman" w:cs="Times New Roman"/>
          <w:color w:val="000000" w:themeColor="text1"/>
          <w14:textFill>
            <w14:solidFill>
              <w14:schemeClr w14:val="tx1"/>
            </w14:solidFill>
          </w14:textFill>
        </w:rPr>
        <w:t>等材料)，以及产品生产阶段。研究得到：1</w:t>
      </w:r>
      <w:r>
        <w:rPr>
          <w:rFonts w:hint="default" w:ascii="Times New Roman" w:hAnsi="Times New Roman" w:cs="Times New Roman"/>
          <w:color w:val="000000" w:themeColor="text1"/>
          <w:lang w:val="en-US" w:eastAsia="zh-CN"/>
          <w14:textFill>
            <w14:solidFill>
              <w14:schemeClr w14:val="tx1"/>
            </w14:solidFill>
          </w14:textFill>
        </w:rPr>
        <w:t>kg</w:t>
      </w:r>
      <w:r>
        <w:rPr>
          <w:rFonts w:hint="default" w:ascii="Times New Roman" w:hAnsi="Times New Roman" w:cs="Times New Roman"/>
          <w:color w:val="000000" w:themeColor="text1"/>
          <w14:textFill>
            <w14:solidFill>
              <w14:schemeClr w14:val="tx1"/>
            </w14:solidFill>
          </w14:textFill>
        </w:rPr>
        <w:t>仙谭豆腐全生命周期的碳足迹为523.6009  kgCO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e，其中原材料</w:t>
      </w:r>
      <w:r>
        <w:rPr>
          <w:rFonts w:hint="default" w:ascii="Times New Roman" w:hAnsi="Times New Roman" w:cs="Times New Roman"/>
          <w:color w:val="000000" w:themeColor="text1"/>
          <w:lang w:val="en-US" w:eastAsia="zh-CN"/>
          <w14:textFill>
            <w14:solidFill>
              <w14:schemeClr w14:val="tx1"/>
            </w14:solidFill>
          </w14:textFill>
        </w:rPr>
        <w:t>获取</w:t>
      </w:r>
      <w:r>
        <w:rPr>
          <w:rFonts w:hint="default" w:ascii="Times New Roman" w:hAnsi="Times New Roman" w:cs="Times New Roman"/>
          <w:color w:val="000000" w:themeColor="text1"/>
          <w14:textFill>
            <w14:solidFill>
              <w14:schemeClr w14:val="tx1"/>
            </w14:solidFill>
          </w14:textFill>
        </w:rPr>
        <w:t>阶段的碳排放量为</w:t>
      </w:r>
      <w:bookmarkStart w:id="3" w:name="_Hlk138156900"/>
      <w:r>
        <w:rPr>
          <w:rFonts w:hint="default" w:ascii="Times New Roman" w:hAnsi="Times New Roman" w:cs="Times New Roman"/>
          <w:color w:val="000000" w:themeColor="text1"/>
          <w14:textFill>
            <w14:solidFill>
              <w14:schemeClr w14:val="tx1"/>
            </w14:solidFill>
          </w14:textFill>
        </w:rPr>
        <w:t>513.0735 kgCO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e（9</w:t>
      </w:r>
      <w:r>
        <w:rPr>
          <w:rFonts w:hint="default" w:ascii="Times New Roman" w:hAnsi="Times New Roman" w:cs="Times New Roman"/>
          <w:color w:val="000000" w:themeColor="text1"/>
          <w:lang w:val="en-US" w:eastAsia="zh-CN"/>
          <w14:textFill>
            <w14:solidFill>
              <w14:schemeClr w14:val="tx1"/>
            </w14:solidFill>
          </w14:textFill>
        </w:rPr>
        <w:t>7.99</w:t>
      </w:r>
      <w:r>
        <w:rPr>
          <w:rFonts w:hint="default" w:ascii="Times New Roman" w:hAnsi="Times New Roman" w:cs="Times New Roman"/>
          <w:color w:val="000000" w:themeColor="text1"/>
          <w14:textFill>
            <w14:solidFill>
              <w14:schemeClr w14:val="tx1"/>
            </w14:solidFill>
          </w14:textFill>
        </w:rPr>
        <w:t>%）</w:t>
      </w:r>
      <w:bookmarkEnd w:id="3"/>
      <w:r>
        <w:rPr>
          <w:rFonts w:hint="default" w:ascii="Times New Roman" w:hAnsi="Times New Roman" w:cs="Times New Roman"/>
          <w:color w:val="000000" w:themeColor="text1"/>
          <w14:textFill>
            <w14:solidFill>
              <w14:schemeClr w14:val="tx1"/>
            </w14:solidFill>
          </w14:textFill>
        </w:rPr>
        <w:t>，原材料运输阶段碳排放量为9.7480 kgCO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e（</w:t>
      </w:r>
      <w:r>
        <w:rPr>
          <w:rFonts w:hint="default" w:ascii="Times New Roman" w:hAnsi="Times New Roman" w:cs="Times New Roman"/>
          <w:color w:val="000000" w:themeColor="text1"/>
          <w:lang w:val="en-US" w:eastAsia="zh-CN"/>
          <w14:textFill>
            <w14:solidFill>
              <w14:schemeClr w14:val="tx1"/>
            </w14:solidFill>
          </w14:textFill>
        </w:rPr>
        <w:t>1.8</w:t>
      </w:r>
      <w:r>
        <w:rPr>
          <w:rFonts w:hint="default" w:ascii="Times New Roman" w:hAnsi="Times New Roman" w:cs="Times New Roman"/>
          <w:color w:val="000000" w:themeColor="text1"/>
          <w14:textFill>
            <w14:solidFill>
              <w14:schemeClr w14:val="tx1"/>
            </w14:solidFill>
          </w14:textFill>
        </w:rPr>
        <w:t>%），生产阶段的碳排放量为0.7794 kgCO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e（</w:t>
      </w:r>
      <w:r>
        <w:rPr>
          <w:rFonts w:hint="default" w:ascii="Times New Roman" w:hAnsi="Times New Roman" w:cs="Times New Roman"/>
          <w:color w:val="000000" w:themeColor="text1"/>
          <w:lang w:val="en-US" w:eastAsia="zh-CN"/>
          <w14:textFill>
            <w14:solidFill>
              <w14:schemeClr w14:val="tx1"/>
            </w14:solidFill>
          </w14:textFill>
        </w:rPr>
        <w:t>0.15</w:t>
      </w:r>
      <w:r>
        <w:rPr>
          <w:rFonts w:hint="default" w:ascii="Times New Roman" w:hAnsi="Times New Roman" w:cs="Times New Roman"/>
          <w:color w:val="000000" w:themeColor="text1"/>
          <w14:textFill>
            <w14:solidFill>
              <w14:schemeClr w14:val="tx1"/>
            </w14:solidFill>
          </w14:textFill>
        </w:rPr>
        <w:t>%）。</w:t>
      </w:r>
    </w:p>
    <w:p>
      <w:pPr>
        <w:pStyle w:val="19"/>
        <w:ind w:firstLine="56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研究依据ISO14067:2018的评价标准建立了</w:t>
      </w:r>
      <w:r>
        <w:rPr>
          <w:rFonts w:hint="default" w:ascii="Times New Roman" w:hAnsi="Times New Roman" w:cs="Times New Roman"/>
          <w:color w:val="000000" w:themeColor="text1"/>
          <w14:textFill>
            <w14:solidFill>
              <w14:schemeClr w14:val="tx1"/>
            </w14:solidFill>
          </w14:textFill>
        </w:rPr>
        <w:t>仙谭豆腐</w:t>
      </w:r>
      <w:r>
        <w:rPr>
          <w:rFonts w:hint="default" w:ascii="Times New Roman" w:hAnsi="Times New Roman" w:cs="Times New Roman"/>
          <w:color w:val="000000" w:themeColor="text1"/>
          <w14:textFill>
            <w14:solidFill>
              <w14:schemeClr w14:val="tx1"/>
            </w14:solidFill>
          </w14:textFill>
        </w:rPr>
        <w:t>生命周期碳足迹模型，并计算得到碳足迹结果</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以保证数据和计算结果的可溯性和可再现性。研究过程中，为了保证数据质量，实景数据来源于</w:t>
      </w:r>
      <w:r>
        <w:rPr>
          <w:rFonts w:hint="default" w:ascii="Times New Roman" w:hAnsi="Times New Roman" w:cs="Times New Roman"/>
          <w:color w:val="000000" w:themeColor="text1"/>
          <w:lang w:eastAsia="zh-CN"/>
          <w14:textFill>
            <w14:solidFill>
              <w14:schemeClr w14:val="tx1"/>
            </w14:solidFill>
          </w14:textFill>
        </w:rPr>
        <w:t>浙江莫干山食业有限公司</w:t>
      </w:r>
      <w:r>
        <w:rPr>
          <w:rFonts w:hint="default" w:ascii="Times New Roman" w:hAnsi="Times New Roman" w:cs="Times New Roman"/>
          <w:color w:val="000000" w:themeColor="text1"/>
          <w14:textFill>
            <w14:solidFill>
              <w14:schemeClr w14:val="tx1"/>
            </w14:solidFill>
          </w14:textFill>
        </w:rPr>
        <w:t>的现场收集，背景数据来源于Ecoinvent数据库，该数据库是国际上公认和广泛采用的生命周期数据库。</w:t>
      </w:r>
    </w:p>
    <w:p>
      <w:pPr>
        <w:pStyle w:val="19"/>
        <w:ind w:firstLine="560"/>
        <w:jc w:val="left"/>
        <w:rPr>
          <w:rFonts w:hint="default" w:ascii="Times New Roman" w:hAnsi="Times New Roman" w:cs="Times New Roman"/>
          <w:color w:val="000000" w:themeColor="text1"/>
          <w14:textFill>
            <w14:solidFill>
              <w14:schemeClr w14:val="tx1"/>
            </w14:solidFill>
          </w14:textFill>
        </w:rPr>
      </w:pPr>
    </w:p>
    <w:p>
      <w:pPr>
        <w:pStyle w:val="19"/>
        <w:ind w:firstLine="560"/>
        <w:jc w:val="left"/>
        <w:rPr>
          <w:rFonts w:hint="default" w:ascii="Times New Roman" w:hAnsi="Times New Roman" w:cs="Times New Roman"/>
          <w:color w:val="000000" w:themeColor="text1"/>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after="156"/>
        <w:rPr>
          <w:rFonts w:hint="default" w:ascii="Times New Roman" w:hAnsi="Times New Roman" w:cs="Times New Roman"/>
          <w:color w:val="000000" w:themeColor="text1"/>
          <w14:textFill>
            <w14:solidFill>
              <w14:schemeClr w14:val="tx1"/>
            </w14:solidFill>
          </w14:textFill>
        </w:rPr>
      </w:pPr>
      <w:bookmarkStart w:id="4" w:name="_Toc5803"/>
      <w:r>
        <w:rPr>
          <w:rFonts w:hint="default" w:ascii="Times New Roman" w:hAnsi="Times New Roman" w:cs="Times New Roman"/>
          <w:color w:val="000000" w:themeColor="text1"/>
          <w14:textFill>
            <w14:solidFill>
              <w14:schemeClr w14:val="tx1"/>
            </w14:solidFill>
          </w14:textFill>
        </w:rPr>
        <w:t>1 概述</w:t>
      </w:r>
      <w:bookmarkEnd w:id="4"/>
    </w:p>
    <w:p>
      <w:pPr>
        <w:pStyle w:val="3"/>
        <w:rPr>
          <w:rFonts w:hint="default" w:ascii="Times New Roman" w:hAnsi="Times New Roman" w:cs="Times New Roman"/>
          <w:color w:val="000000" w:themeColor="text1"/>
          <w14:textFill>
            <w14:solidFill>
              <w14:schemeClr w14:val="tx1"/>
            </w14:solidFill>
          </w14:textFill>
        </w:rPr>
      </w:pPr>
      <w:bookmarkStart w:id="5" w:name="_Toc16129"/>
      <w:r>
        <w:rPr>
          <w:rFonts w:hint="default" w:ascii="Times New Roman" w:hAnsi="Times New Roman" w:cs="Times New Roman"/>
          <w:color w:val="000000" w:themeColor="text1"/>
          <w14:textFill>
            <w14:solidFill>
              <w14:schemeClr w14:val="tx1"/>
            </w14:solidFill>
          </w14:textFill>
        </w:rPr>
        <w:t>1.1</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企业及产品介绍</w:t>
      </w:r>
      <w:bookmarkEnd w:id="5"/>
    </w:p>
    <w:p>
      <w:pPr>
        <w:pStyle w:val="19"/>
        <w:ind w:firstLine="56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浙江莫干山食业有限公司前身为德清县蜜饯厂，成立于1953年，是浙江省旅游商品定点生产企业和湖州市重点农业龙头企业，浙江省省级卫生先进企业。公司拥有完善的生产设施、先进的检测设备、较强的产品开发能力，是浙江省规模最大的蜜饯生产基地之一。</w:t>
      </w:r>
    </w:p>
    <w:p>
      <w:pPr>
        <w:pStyle w:val="19"/>
        <w:ind w:firstLine="56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2014年8月，该公司选址新市镇田心路388号，租用浙江五龙新材股份有限公司的厂房作为公司的营运场所，建设年产5000吨豆制品的新厂区。</w:t>
      </w:r>
    </w:p>
    <w:p>
      <w:pPr>
        <w:pStyle w:val="19"/>
        <w:ind w:firstLine="56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在绿色工厂的建设方面，公司响应政府号召，投资建设现代化豆制品加工厂，生产安全放心的豆制品，以满足德清县及周边人民群众的市场需求。一直以优良的品质、可靠的质量、完善的售后服务赢得了良好的信誉。</w:t>
      </w:r>
    </w:p>
    <w:p>
      <w:pPr>
        <w:pStyle w:val="19"/>
        <w:ind w:firstLine="560"/>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公司具有严格的质量管理体系，完全依照国家有关标准、行业标准及企业标准组织生产和出厂检验。“质量是企业的生命、卫生是食品的根本”，公司产品质量和卫生指标均符合国家标准，为市民提供放心豆制品。</w:t>
      </w:r>
    </w:p>
    <w:p>
      <w:pPr>
        <w:pStyle w:val="3"/>
        <w:rPr>
          <w:rFonts w:hint="default" w:ascii="Times New Roman" w:hAnsi="Times New Roman" w:cs="Times New Roman"/>
          <w:color w:val="000000" w:themeColor="text1"/>
          <w14:textFill>
            <w14:solidFill>
              <w14:schemeClr w14:val="tx1"/>
            </w14:solidFill>
          </w14:textFill>
        </w:rPr>
      </w:pPr>
      <w:bookmarkStart w:id="6" w:name="_Toc2013"/>
      <w:r>
        <w:rPr>
          <w:rFonts w:hint="default" w:ascii="Times New Roman" w:hAnsi="Times New Roman" w:cs="Times New Roman"/>
          <w:color w:val="000000" w:themeColor="text1"/>
          <w14:textFill>
            <w14:solidFill>
              <w14:schemeClr w14:val="tx1"/>
            </w14:solidFill>
          </w14:textFill>
        </w:rPr>
        <w:t>1.2 碳足迹评价工作小组</w:t>
      </w:r>
      <w:bookmarkEnd w:id="6"/>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公司组织了多个部门配合本次产品碳足迹评价工作：</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1）碳足迹评价工作由</w:t>
      </w:r>
      <w:r>
        <w:rPr>
          <w:rFonts w:hint="default" w:ascii="Times New Roman" w:hAnsi="Times New Roman" w:cs="Times New Roman"/>
          <w:color w:val="000000" w:themeColor="text1"/>
          <w:lang w:val="en-US" w:eastAsia="zh-CN"/>
          <w14:textFill>
            <w14:solidFill>
              <w14:schemeClr w14:val="tx1"/>
            </w14:solidFill>
          </w14:textFill>
        </w:rPr>
        <w:t>行政部</w:t>
      </w:r>
      <w:r>
        <w:rPr>
          <w:rFonts w:hint="default" w:ascii="Times New Roman" w:hAnsi="Times New Roman" w:cs="Times New Roman"/>
          <w:color w:val="000000" w:themeColor="text1"/>
          <w14:textFill>
            <w14:solidFill>
              <w14:schemeClr w14:val="tx1"/>
            </w14:solidFill>
          </w14:textFill>
        </w:rPr>
        <w:t>牵头组织；</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2）公司</w:t>
      </w:r>
      <w:r>
        <w:rPr>
          <w:rFonts w:hint="default" w:ascii="Times New Roman" w:hAnsi="Times New Roman" w:cs="Times New Roman"/>
          <w:color w:val="000000" w:themeColor="text1"/>
          <w14:textFill>
            <w14:solidFill>
              <w14:schemeClr w14:val="tx1"/>
            </w14:solidFill>
          </w14:textFill>
        </w:rPr>
        <w:t>财务</w:t>
      </w:r>
      <w:r>
        <w:rPr>
          <w:rFonts w:hint="default" w:ascii="Times New Roman" w:hAnsi="Times New Roman" w:cs="Times New Roman"/>
          <w:color w:val="000000" w:themeColor="text1"/>
          <w:lang w:val="en-US" w:eastAsia="zh-CN"/>
          <w14:textFill>
            <w14:solidFill>
              <w14:schemeClr w14:val="tx1"/>
            </w14:solidFill>
          </w14:textFill>
        </w:rPr>
        <w:t>部</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生产部</w:t>
      </w:r>
      <w:r>
        <w:rPr>
          <w:rFonts w:hint="default" w:ascii="Times New Roman" w:hAnsi="Times New Roman" w:cs="Times New Roman"/>
          <w:color w:val="000000" w:themeColor="text1"/>
          <w14:textFill>
            <w14:solidFill>
              <w14:schemeClr w14:val="tx1"/>
            </w14:solidFill>
          </w14:textFill>
        </w:rPr>
        <w:t>等部门配合提供供应链数据。</w:t>
      </w:r>
    </w:p>
    <w:p>
      <w:pPr>
        <w:pStyle w:val="3"/>
        <w:rPr>
          <w:rFonts w:hint="default" w:ascii="Times New Roman" w:hAnsi="Times New Roman" w:cs="Times New Roman"/>
          <w:color w:val="000000" w:themeColor="text1"/>
          <w14:textFill>
            <w14:solidFill>
              <w14:schemeClr w14:val="tx1"/>
            </w14:solidFill>
          </w14:textFill>
        </w:rPr>
      </w:pPr>
      <w:bookmarkStart w:id="7" w:name="_Toc5731"/>
      <w:r>
        <w:rPr>
          <w:rFonts w:hint="default" w:ascii="Times New Roman" w:hAnsi="Times New Roman" w:cs="Times New Roman"/>
          <w:color w:val="000000" w:themeColor="text1"/>
          <w14:textFill>
            <w14:solidFill>
              <w14:schemeClr w14:val="tx1"/>
            </w14:solidFill>
          </w14:textFill>
        </w:rPr>
        <w:t>1.3 参照标准</w:t>
      </w:r>
      <w:bookmarkEnd w:id="7"/>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本次生命周期碳足迹评价工作及报告的编制参照以下准则：</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1.PAS</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2050</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2011《商品和服务在生命周期内的温室气体排放评价规范》；</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ISO</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14067</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2018《温室气体－产品碳足迹－量化要求和指南》</w:t>
      </w:r>
      <w:r>
        <w:rPr>
          <w:rFonts w:hint="default" w:ascii="Times New Roman" w:hAnsi="Times New Roman" w:cs="Times New Roman"/>
          <w:color w:val="000000" w:themeColor="text1"/>
          <w14:textFill>
            <w14:solidFill>
              <w14:schemeClr w14:val="tx1"/>
            </w14:solidFill>
          </w14:textFill>
        </w:rPr>
        <w:t>；</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3.GB/T</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24040-2008《环境管理 生命周期评价 原则与框架》；</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4.GB/T</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24044-2008《环境管理 生命周期评价 要求与指南》。</w:t>
      </w:r>
    </w:p>
    <w:p>
      <w:pPr>
        <w:pStyle w:val="2"/>
        <w:keepNext/>
        <w:keepLines/>
        <w:pageBreakBefore w:val="0"/>
        <w:widowControl w:val="0"/>
        <w:kinsoku/>
        <w:wordWrap/>
        <w:overflowPunct/>
        <w:topLinePunct w:val="0"/>
        <w:autoSpaceDE/>
        <w:autoSpaceDN/>
        <w:bidi w:val="0"/>
        <w:adjustRightInd/>
        <w:snapToGrid w:val="0"/>
        <w:spacing w:before="313" w:beforeLines="100" w:after="156"/>
        <w:textAlignment w:val="auto"/>
        <w:rPr>
          <w:rFonts w:hint="default" w:ascii="Times New Roman" w:hAnsi="Times New Roman" w:cs="Times New Roman"/>
          <w:color w:val="000000" w:themeColor="text1"/>
          <w14:textFill>
            <w14:solidFill>
              <w14:schemeClr w14:val="tx1"/>
            </w14:solidFill>
          </w14:textFill>
        </w:rPr>
      </w:pPr>
      <w:bookmarkStart w:id="8" w:name="_Toc25453"/>
      <w:r>
        <w:rPr>
          <w:rFonts w:hint="default" w:ascii="Times New Roman" w:hAnsi="Times New Roman" w:cs="Times New Roman"/>
          <w:color w:val="000000" w:themeColor="text1"/>
          <w14:textFill>
            <w14:solidFill>
              <w14:schemeClr w14:val="tx1"/>
            </w14:solidFill>
          </w14:textFill>
        </w:rPr>
        <w:t>2 目标与范围</w:t>
      </w:r>
      <w:bookmarkEnd w:id="8"/>
    </w:p>
    <w:p>
      <w:pPr>
        <w:pStyle w:val="3"/>
        <w:rPr>
          <w:rFonts w:hint="default" w:ascii="Times New Roman" w:hAnsi="Times New Roman" w:cs="Times New Roman"/>
          <w:color w:val="000000" w:themeColor="text1"/>
          <w14:textFill>
            <w14:solidFill>
              <w14:schemeClr w14:val="tx1"/>
            </w14:solidFill>
          </w14:textFill>
        </w:rPr>
      </w:pPr>
      <w:bookmarkStart w:id="9" w:name="_Toc13999"/>
      <w:r>
        <w:rPr>
          <w:rFonts w:hint="default" w:ascii="Times New Roman" w:hAnsi="Times New Roman" w:cs="Times New Roman"/>
          <w:color w:val="000000" w:themeColor="text1"/>
          <w14:textFill>
            <w14:solidFill>
              <w14:schemeClr w14:val="tx1"/>
            </w14:solidFill>
          </w14:textFill>
        </w:rPr>
        <w:t>2.1 评价目标</w:t>
      </w:r>
      <w:bookmarkEnd w:id="9"/>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本报告的制作旨在从生命周期的角度出发，评价</w:t>
      </w:r>
      <w:r>
        <w:rPr>
          <w:rFonts w:hint="default" w:ascii="Times New Roman" w:hAnsi="Times New Roman" w:cs="Times New Roman"/>
          <w:color w:val="000000" w:themeColor="text1"/>
          <w:lang w:eastAsia="zh-CN"/>
          <w14:textFill>
            <w14:solidFill>
              <w14:schemeClr w14:val="tx1"/>
            </w14:solidFill>
          </w14:textFill>
        </w:rPr>
        <w:t>浙江莫干山食业有限公司仙谭豆腐</w:t>
      </w:r>
      <w:r>
        <w:rPr>
          <w:rFonts w:hint="default" w:ascii="Times New Roman" w:hAnsi="Times New Roman" w:cs="Times New Roman"/>
          <w:color w:val="000000" w:themeColor="text1"/>
          <w14:textFill>
            <w14:solidFill>
              <w14:schemeClr w14:val="tx1"/>
            </w14:solidFill>
          </w14:textFill>
        </w:rPr>
        <w:t>的原材料获取及运输阶段、生产阶段的碳足迹，具体目的包括：</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1)依据本产品碳足迹评价结果，对比使用原生材料进行生产的碳减排效益；</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2)以碳足迹评价结果为依据，开展产品绿色设计、推动绿色制造；</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3)本报告还可作为本企业面向供应链和全社会开展碳信息披露的重要依据。</w:t>
      </w:r>
    </w:p>
    <w:p>
      <w:pPr>
        <w:pStyle w:val="3"/>
        <w:rPr>
          <w:rFonts w:hint="default" w:ascii="Times New Roman" w:hAnsi="Times New Roman" w:cs="Times New Roman"/>
          <w:color w:val="000000" w:themeColor="text1"/>
          <w14:textFill>
            <w14:solidFill>
              <w14:schemeClr w14:val="tx1"/>
            </w14:solidFill>
          </w14:textFill>
        </w:rPr>
      </w:pPr>
      <w:bookmarkStart w:id="10" w:name="_Toc24895"/>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 xml:space="preserve"> 功能单位与基准流</w:t>
      </w:r>
      <w:bookmarkEnd w:id="10"/>
    </w:p>
    <w:p>
      <w:pPr>
        <w:pStyle w:val="19"/>
        <w:ind w:firstLine="560"/>
        <w:rPr>
          <w:rFonts w:hint="default" w:ascii="Times New Roman" w:hAnsi="Times New Roman" w:cs="Times New Roman"/>
          <w:color w:val="000000" w:themeColor="text1"/>
          <w14:textFill>
            <w14:solidFill>
              <w14:schemeClr w14:val="tx1"/>
            </w14:solidFill>
          </w14:textFill>
        </w:rPr>
      </w:pPr>
      <w:bookmarkStart w:id="11" w:name="OLE_LINK16"/>
      <w:r>
        <w:rPr>
          <w:rFonts w:hint="default" w:ascii="Times New Roman" w:hAnsi="Times New Roman" w:cs="Times New Roman"/>
          <w:color w:val="000000" w:themeColor="text1"/>
          <w14:textFill>
            <w14:solidFill>
              <w14:schemeClr w14:val="tx1"/>
            </w14:solidFill>
          </w14:textFill>
        </w:rPr>
        <w:t>为方便系统中输入/输出的量化，以及后续企业披露产品的碳足迹信息，或将本研究结果与其他产品的环境影响作对比，本研究声明单位定义为：</w:t>
      </w:r>
      <w:bookmarkEnd w:id="11"/>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kg</w:t>
      </w:r>
      <w:r>
        <w:rPr>
          <w:rFonts w:hint="default" w:ascii="Times New Roman" w:hAnsi="Times New Roman" w:cs="Times New Roman"/>
          <w:color w:val="000000" w:themeColor="text1"/>
          <w14:textFill>
            <w14:solidFill>
              <w14:schemeClr w14:val="tx1"/>
            </w14:solidFill>
          </w14:textFill>
        </w:rPr>
        <w:t>仙谭豆腐。</w:t>
      </w:r>
    </w:p>
    <w:p>
      <w:pPr>
        <w:pStyle w:val="3"/>
        <w:rPr>
          <w:rFonts w:hint="default" w:ascii="Times New Roman" w:hAnsi="Times New Roman" w:cs="Times New Roman"/>
          <w:color w:val="000000" w:themeColor="text1"/>
          <w14:textFill>
            <w14:solidFill>
              <w14:schemeClr w14:val="tx1"/>
            </w14:solidFill>
          </w14:textFill>
        </w:rPr>
      </w:pPr>
      <w:bookmarkStart w:id="12" w:name="_Toc14909"/>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 xml:space="preserve"> 系统边界</w:t>
      </w:r>
      <w:bookmarkEnd w:id="12"/>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本报告执行碳足迹评价的标的产品其系统边界为“摇篮到大门”，包括原材料获取及运输阶段、生产阶段。</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1)原材料获取及运输阶段</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原材料、包装材料的获取：组成产品仙谭豆腐的原料获取过程所产生的温室气体排放，实景过程数据主要来自于公司的生产运行数据；背景过程数据来自于Ecoinvent数据库。</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原材料运输：组成最终产品的原材料从上游厂商运输到生产厂的过程。</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2)生产阶段</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能源：本报告涉及外购电力、</w:t>
      </w:r>
      <w:r>
        <w:rPr>
          <w:rFonts w:hint="default" w:ascii="Times New Roman" w:hAnsi="Times New Roman" w:cs="Times New Roman"/>
          <w:color w:val="000000" w:themeColor="text1"/>
          <w:lang w:val="en-US" w:eastAsia="zh-CN"/>
          <w14:textFill>
            <w14:solidFill>
              <w14:schemeClr w14:val="tx1"/>
            </w14:solidFill>
          </w14:textFill>
        </w:rPr>
        <w:t>蒸汽</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水</w:t>
      </w:r>
      <w:r>
        <w:rPr>
          <w:rFonts w:hint="default" w:ascii="Times New Roman" w:hAnsi="Times New Roman" w:cs="Times New Roman"/>
          <w:color w:val="000000" w:themeColor="text1"/>
          <w14:textFill>
            <w14:solidFill>
              <w14:schemeClr w14:val="tx1"/>
            </w14:solidFill>
          </w14:textFill>
        </w:rPr>
        <w:t>使用产生的温室气体排放。</w:t>
      </w:r>
    </w:p>
    <w:p>
      <w:pPr>
        <w:pStyle w:val="3"/>
        <w:rPr>
          <w:rFonts w:hint="default" w:ascii="Times New Roman" w:hAnsi="Times New Roman" w:cs="Times New Roman"/>
          <w:color w:val="000000" w:themeColor="text1"/>
          <w14:textFill>
            <w14:solidFill>
              <w14:schemeClr w14:val="tx1"/>
            </w14:solidFill>
          </w14:textFill>
        </w:rPr>
      </w:pPr>
      <w:bookmarkStart w:id="13" w:name="_Toc5156"/>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 xml:space="preserve"> 取舍原则</w:t>
      </w:r>
      <w:bookmarkEnd w:id="13"/>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在选定系统边界和环境影响指标的基础上，应规定一套完整的数据取舍原则，舍去对碳足迹评价结果影响不大的因素，从而简化数据收集和评价过程。本报告的数据取舍原则如下：</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普通物料重量＜1%产品重量时，以及含稀贵金属（如金、银、铂、钯等）或高纯成分（如纯度高于99.99%）的物料重量＜0.1%产品重量时，可舍去该物料的上游生产数据，总共舍去的物料重量不超过5%产品重量；</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道路与厂房等基础设施、生产设备的消耗和排放，可舍去；</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低价值废物作为原料，如粉煤灰、矿渣、秸秆、生活垃圾等，可舍去其上游生产数据；</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任何有毒有害的材料和物质均应包含于清单中，不可舍去；</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原则上应包括与碳足迹影响相关的所有环境排放，但在环境排放数据不可得或缺失的情况下可舍去，但应在报告中解释说明。</w:t>
      </w:r>
    </w:p>
    <w:p>
      <w:pPr>
        <w:pStyle w:val="19"/>
        <w:ind w:firstLine="56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依据上述原则，结合标的产品生产的实际情况，本报告针对原材料、能源资源消耗的活动水平数据进行完整收集，</w:t>
      </w:r>
      <w:r>
        <w:rPr>
          <w:rFonts w:hint="default" w:ascii="Times New Roman" w:hAnsi="Times New Roman" w:cs="Times New Roman"/>
          <w:color w:val="000000" w:themeColor="text1"/>
          <w:lang w:val="en-US" w:eastAsia="zh-CN"/>
          <w14:textFill>
            <w14:solidFill>
              <w14:schemeClr w14:val="tx1"/>
            </w14:solidFill>
          </w14:textFill>
        </w:rPr>
        <w:t>无</w:t>
      </w:r>
      <w:r>
        <w:rPr>
          <w:rFonts w:hint="default" w:ascii="Times New Roman" w:hAnsi="Times New Roman" w:cs="Times New Roman"/>
          <w:color w:val="000000" w:themeColor="text1"/>
          <w14:textFill>
            <w14:solidFill>
              <w14:schemeClr w14:val="tx1"/>
            </w14:solidFill>
          </w14:textFill>
        </w:rPr>
        <w:t>其余取舍项</w:t>
      </w:r>
      <w:r>
        <w:rPr>
          <w:rFonts w:hint="default" w:ascii="Times New Roman" w:hAnsi="Times New Roman" w:cs="Times New Roman"/>
          <w:color w:val="000000" w:themeColor="text1"/>
          <w:lang w:eastAsia="zh-CN"/>
          <w14:textFill>
            <w14:solidFill>
              <w14:schemeClr w14:val="tx1"/>
            </w14:solidFill>
          </w14:textFill>
        </w:rPr>
        <w:t>。</w:t>
      </w:r>
    </w:p>
    <w:p>
      <w:pPr>
        <w:pStyle w:val="3"/>
        <w:rPr>
          <w:rFonts w:hint="default" w:ascii="Times New Roman" w:hAnsi="Times New Roman" w:cs="Times New Roman"/>
          <w:color w:val="000000" w:themeColor="text1"/>
          <w14:textFill>
            <w14:solidFill>
              <w14:schemeClr w14:val="tx1"/>
            </w14:solidFill>
          </w14:textFill>
        </w:rPr>
      </w:pPr>
      <w:bookmarkStart w:id="14" w:name="_Toc22136"/>
      <w:bookmarkStart w:id="15" w:name="_Toc19192"/>
      <w:bookmarkStart w:id="16" w:name="OLE_LINK25"/>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影响类型和评价方法</w:t>
      </w:r>
      <w:bookmarkEnd w:id="14"/>
      <w:bookmarkEnd w:id="15"/>
    </w:p>
    <w:p>
      <w:pPr>
        <w:pStyle w:val="19"/>
        <w:ind w:firstLine="56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基于研究目标定义，本</w:t>
      </w:r>
      <w:r>
        <w:rPr>
          <w:rFonts w:hint="default" w:ascii="Times New Roman" w:hAnsi="Times New Roman" w:cs="Times New Roman"/>
          <w:color w:val="000000" w:themeColor="text1"/>
          <w:lang w:val="en-US" w:eastAsia="zh-CN"/>
          <w14:textFill>
            <w14:solidFill>
              <w14:schemeClr w14:val="tx1"/>
            </w14:solidFill>
          </w14:textFill>
        </w:rPr>
        <w:t>报告</w:t>
      </w:r>
      <w:r>
        <w:rPr>
          <w:rFonts w:hint="default" w:ascii="Times New Roman" w:hAnsi="Times New Roman" w:cs="Times New Roman"/>
          <w:color w:val="000000" w:themeColor="text1"/>
          <w14:textFill>
            <w14:solidFill>
              <w14:schemeClr w14:val="tx1"/>
            </w14:solidFill>
          </w14:textFill>
        </w:rPr>
        <w:t>选择对产品生命周期的全球变暖浅势(Global Warming Potential，GWP)进行分析，GWP即用来量化产品碳足迹的影响指标。碳足迹量化评价方法的选用应</w:t>
      </w:r>
      <w:r>
        <w:rPr>
          <w:rFonts w:hint="default" w:ascii="Times New Roman" w:hAnsi="Times New Roman" w:cs="Times New Roman"/>
          <w:color w:val="000000" w:themeColor="text1"/>
          <w:lang w:val="en-US" w:eastAsia="zh-CN"/>
          <w14:textFill>
            <w14:solidFill>
              <w14:schemeClr w14:val="tx1"/>
            </w14:solidFill>
          </w14:textFill>
        </w:rPr>
        <w:t>符合</w:t>
      </w:r>
      <w:r>
        <w:rPr>
          <w:rFonts w:hint="default" w:ascii="Times New Roman" w:hAnsi="Times New Roman" w:cs="Times New Roman"/>
          <w:color w:val="000000" w:themeColor="text1"/>
          <w14:textFill>
            <w14:solidFill>
              <w14:schemeClr w14:val="tx1"/>
            </w14:solidFill>
          </w14:textFill>
        </w:rPr>
        <w:t>ISO</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14040:2006、ISO 14044:2006、</w:t>
      </w:r>
      <w:r>
        <w:rPr>
          <w:rFonts w:hint="default" w:ascii="Times New Roman" w:hAnsi="Times New Roman" w:cs="Times New Roman"/>
          <w:color w:val="000000" w:themeColor="text1"/>
          <w:lang w:val="en-US" w:eastAsia="zh-CN"/>
          <w14:textFill>
            <w14:solidFill>
              <w14:schemeClr w14:val="tx1"/>
            </w14:solidFill>
          </w14:textFill>
        </w:rPr>
        <w:t>I</w:t>
      </w:r>
      <w:r>
        <w:rPr>
          <w:rFonts w:hint="default" w:ascii="Times New Roman" w:hAnsi="Times New Roman" w:cs="Times New Roman"/>
          <w:color w:val="000000" w:themeColor="text1"/>
          <w14:textFill>
            <w14:solidFill>
              <w14:schemeClr w14:val="tx1"/>
            </w14:solidFill>
          </w14:textFill>
        </w:rPr>
        <w:t>SO 14067:2018和PAS 2050</w:t>
      </w:r>
      <w:r>
        <w:rPr>
          <w:rFonts w:hint="default" w:ascii="Times New Roman" w:hAnsi="Times New Roman" w:cs="Times New Roman"/>
          <w:color w:val="000000" w:themeColor="text1"/>
          <w:lang w:val="en-US" w:eastAsia="zh-CN"/>
          <w14:textFill>
            <w14:solidFill>
              <w14:schemeClr w14:val="tx1"/>
            </w14:solidFill>
          </w14:textFill>
        </w:rPr>
        <w:t>标</w:t>
      </w:r>
      <w:r>
        <w:rPr>
          <w:rFonts w:hint="default" w:ascii="Times New Roman" w:hAnsi="Times New Roman" w:cs="Times New Roman"/>
          <w:color w:val="000000" w:themeColor="text1"/>
          <w14:textFill>
            <w14:solidFill>
              <w14:schemeClr w14:val="tx1"/>
            </w14:solidFill>
          </w14:textFill>
        </w:rPr>
        <w:t>准的要求，并应考虑方法的科学性、特征化因子的可获得性以及方法的适用性</w:t>
      </w:r>
      <w:r>
        <w:rPr>
          <w:rFonts w:hint="default" w:ascii="Times New Roman" w:hAnsi="Times New Roman" w:cs="Times New Roman"/>
          <w:color w:val="000000" w:themeColor="text1"/>
          <w:lang w:eastAsia="zh-CN"/>
          <w14:textFill>
            <w14:solidFill>
              <w14:schemeClr w14:val="tx1"/>
            </w14:solidFill>
          </w14:textFill>
        </w:rPr>
        <w:t>。</w:t>
      </w:r>
    </w:p>
    <w:p>
      <w:pPr>
        <w:pStyle w:val="19"/>
        <w:ind w:firstLine="560"/>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全球变暖潜值（GWP）IPCC第</w:t>
      </w:r>
      <w:r>
        <w:rPr>
          <w:rFonts w:hint="default" w:ascii="Times New Roman" w:hAnsi="Times New Roman" w:cs="Times New Roman"/>
          <w:color w:val="000000" w:themeColor="text1"/>
          <w:lang w:val="en-US" w:eastAsia="zh-CN"/>
          <w14:textFill>
            <w14:solidFill>
              <w14:schemeClr w14:val="tx1"/>
            </w14:solidFill>
          </w14:textFill>
        </w:rPr>
        <w:t>六</w:t>
      </w:r>
      <w:r>
        <w:rPr>
          <w:rFonts w:hint="default" w:ascii="Times New Roman" w:hAnsi="Times New Roman" w:cs="Times New Roman"/>
          <w:color w:val="000000" w:themeColor="text1"/>
          <w:lang w:eastAsia="zh-CN"/>
          <w14:textFill>
            <w14:solidFill>
              <w14:schemeClr w14:val="tx1"/>
            </w14:solidFill>
          </w14:textFill>
        </w:rPr>
        <w:t>次评估报告（2021年）</w:t>
      </w:r>
      <w:bookmarkStart w:id="17" w:name="OLE_LINK24"/>
      <w:r>
        <w:rPr>
          <w:rFonts w:hint="default" w:ascii="Times New Roman" w:hAnsi="Times New Roman" w:cs="Times New Roman"/>
          <w:color w:val="000000" w:themeColor="text1"/>
          <w:lang w:eastAsia="zh-CN"/>
          <w14:textFill>
            <w14:solidFill>
              <w14:schemeClr w14:val="tx1"/>
            </w14:solidFill>
          </w14:textFill>
        </w:rPr>
        <w:t>提出的方法来计算产品生命周期的GWP值</w:t>
      </w:r>
      <w:bookmarkEnd w:id="17"/>
      <w:r>
        <w:rPr>
          <w:rFonts w:hint="default" w:ascii="Times New Roman" w:hAnsi="Times New Roman" w:cs="Times New Roman"/>
          <w:color w:val="000000" w:themeColor="text1"/>
          <w:lang w:eastAsia="zh-CN"/>
          <w14:textFill>
            <w14:solidFill>
              <w14:schemeClr w14:val="tx1"/>
            </w14:solidFill>
          </w14:textFill>
        </w:rPr>
        <w:t>，IPCC（2021）方法中覆盖了多种特征化物质，包括</w:t>
      </w:r>
      <w:r>
        <w:rPr>
          <w:rFonts w:hint="default" w:ascii="Times New Roman" w:hAnsi="Times New Roman" w:cs="Times New Roman"/>
          <w:color w:val="000000" w:themeColor="text1"/>
          <w14:textFill>
            <w14:solidFill>
              <w14:schemeClr w14:val="tx1"/>
            </w14:solidFill>
          </w14:textFill>
        </w:rPr>
        <w:t>二氧化碳（CO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）、甲烷（CH</w:t>
      </w:r>
      <w:r>
        <w:rPr>
          <w:rFonts w:hint="default" w:ascii="Times New Roman" w:hAnsi="Times New Roman" w:cs="Times New Roman"/>
          <w:color w:val="000000" w:themeColor="text1"/>
          <w:vertAlign w:val="subscript"/>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）、氧化亚氮（N</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O）、氢氟碳化物（HFCs）、全氟碳化物（PFCs）、六氟化硫（SF</w:t>
      </w:r>
      <w:r>
        <w:rPr>
          <w:rFonts w:hint="default" w:ascii="Times New Roman" w:hAnsi="Times New Roman" w:cs="Times New Roman"/>
          <w:color w:val="000000" w:themeColor="text1"/>
          <w:vertAlign w:val="subscript"/>
          <w14:textFill>
            <w14:solidFill>
              <w14:schemeClr w14:val="tx1"/>
            </w14:solidFill>
          </w14:textFill>
        </w:rPr>
        <w:t>6</w:t>
      </w:r>
      <w:r>
        <w:rPr>
          <w:rFonts w:hint="default" w:ascii="Times New Roman" w:hAnsi="Times New Roman" w:cs="Times New Roman"/>
          <w:color w:val="000000" w:themeColor="text1"/>
          <w14:textFill>
            <w14:solidFill>
              <w14:schemeClr w14:val="tx1"/>
            </w14:solidFill>
          </w14:textFill>
        </w:rPr>
        <w:t>）、三氟化氮（NF</w:t>
      </w:r>
      <w:r>
        <w:rPr>
          <w:rFonts w:hint="default" w:ascii="Times New Roman" w:hAnsi="Times New Roman" w:cs="Times New Roman"/>
          <w:color w:val="000000" w:themeColor="text1"/>
          <w:vertAlign w:val="sub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等。该方法基于100年时间范围内其他温室气体与二氧化碳相比得到的相对辐射影响值，即特征化因子，此因子用来将其他温室气体的排放景转化为CO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当量(CO</w:t>
      </w:r>
      <w:r>
        <w:rPr>
          <w:rFonts w:hint="default" w:ascii="Times New Roman" w:hAnsi="Times New Roman" w:cs="Times New Roman"/>
          <w:color w:val="000000" w:themeColor="text1"/>
          <w:vertAlign w:val="subscript"/>
          <w:lang w:val="en-US" w:eastAsia="zh-CN"/>
          <w14:textFill>
            <w14:solidFill>
              <w14:schemeClr w14:val="tx1"/>
            </w14:solidFill>
          </w14:textFill>
        </w:rPr>
        <w:t>2</w:t>
      </w:r>
      <w:r>
        <w:rPr>
          <w:rFonts w:hint="default" w:ascii="Times New Roman" w:hAnsi="Times New Roman" w:cs="Times New Roman"/>
          <w:color w:val="000000" w:themeColor="text1"/>
          <w:lang w:eastAsia="zh-CN"/>
          <w14:textFill>
            <w14:solidFill>
              <w14:schemeClr w14:val="tx1"/>
            </w14:solidFill>
          </w14:textFill>
        </w:rPr>
        <w:t>eq.)。</w:t>
      </w:r>
    </w:p>
    <w:bookmarkEnd w:id="16"/>
    <w:p>
      <w:pPr>
        <w:pStyle w:val="3"/>
        <w:rPr>
          <w:rFonts w:hint="default" w:ascii="Times New Roman" w:hAnsi="Times New Roman" w:cs="Times New Roman"/>
          <w:color w:val="000000" w:themeColor="text1"/>
          <w14:textFill>
            <w14:solidFill>
              <w14:schemeClr w14:val="tx1"/>
            </w14:solidFill>
          </w14:textFill>
        </w:rPr>
      </w:pPr>
      <w:bookmarkStart w:id="18" w:name="_Toc16216"/>
      <w:r>
        <w:rPr>
          <w:rFonts w:hint="default" w:ascii="Times New Roman" w:hAnsi="Times New Roman" w:cs="Times New Roman"/>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 xml:space="preserve"> 软件和数据库</w:t>
      </w:r>
      <w:bookmarkEnd w:id="18"/>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本报告依据ISO14067:2018的评价标准，建立了</w:t>
      </w:r>
      <w:r>
        <w:rPr>
          <w:rFonts w:hint="default" w:ascii="Times New Roman" w:hAnsi="Times New Roman" w:cs="Times New Roman"/>
          <w:color w:val="000000" w:themeColor="text1"/>
          <w:lang w:eastAsia="zh-CN"/>
          <w14:textFill>
            <w14:solidFill>
              <w14:schemeClr w14:val="tx1"/>
            </w14:solidFill>
          </w14:textFill>
        </w:rPr>
        <w:t>仙谭豆腐</w:t>
      </w:r>
      <w:r>
        <w:rPr>
          <w:rFonts w:hint="default" w:ascii="Times New Roman" w:hAnsi="Times New Roman" w:cs="Times New Roman"/>
          <w:color w:val="000000" w:themeColor="text1"/>
          <w14:textFill>
            <w14:solidFill>
              <w14:schemeClr w14:val="tx1"/>
            </w14:solidFill>
          </w14:textFill>
        </w:rPr>
        <w:t>的生命周期碳足迹模型，并计算得到碳足迹结果。</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本报告评价过程中使用的数据库为瑞士的Ecoinvent数据库</w:t>
      </w:r>
      <w:r>
        <w:rPr>
          <w:rFonts w:hint="default" w:ascii="Times New Roman" w:hAnsi="Times New Roman" w:cs="Times New Roman"/>
          <w:color w:val="000000" w:themeColor="text1"/>
          <w:lang w:eastAsia="zh-CN"/>
          <w14:textFill>
            <w14:solidFill>
              <w14:schemeClr w14:val="tx1"/>
            </w14:solidFill>
          </w14:textFill>
        </w:rPr>
        <w:t>，</w:t>
      </w:r>
      <w:bookmarkStart w:id="19" w:name="OLE_LINK2"/>
      <w:r>
        <w:rPr>
          <w:rFonts w:hint="default" w:ascii="Times New Roman" w:hAnsi="Times New Roman" w:cs="Times New Roman"/>
          <w:color w:val="000000" w:themeColor="text1"/>
          <w:lang w:val="en-US" w:eastAsia="zh-CN"/>
          <w14:textFill>
            <w14:solidFill>
              <w14:schemeClr w14:val="tx1"/>
            </w14:solidFill>
          </w14:textFill>
        </w:rPr>
        <w:t>该</w:t>
      </w:r>
      <w:r>
        <w:rPr>
          <w:rFonts w:hint="default" w:ascii="Times New Roman" w:hAnsi="Times New Roman" w:cs="Times New Roman"/>
          <w:color w:val="000000" w:themeColor="text1"/>
          <w14:textFill>
            <w14:solidFill>
              <w14:schemeClr w14:val="tx1"/>
            </w14:solidFill>
          </w14:textFill>
        </w:rPr>
        <w:t>数据库</w:t>
      </w:r>
      <w:bookmarkEnd w:id="19"/>
      <w:r>
        <w:rPr>
          <w:rFonts w:hint="default" w:ascii="Times New Roman" w:hAnsi="Times New Roman" w:cs="Times New Roman"/>
          <w:color w:val="000000" w:themeColor="text1"/>
          <w14:textFill>
            <w14:solidFill>
              <w14:schemeClr w14:val="tx1"/>
            </w14:solidFill>
          </w14:textFill>
        </w:rPr>
        <w:t>由瑞士生命周期研究中心开发，是国际上用户最多的LCA数据库之一，包含欧洲及世界多国的18000多个单元过程数据集以及相应产品的汇总过程数据集，涵盖了广泛的产品、服务和流程，从建筑材料到食品，从资源开采到废物管理。Ecoinvent数据库被广泛认为是市场上最大、最一致和最透明的数据库，且涵盖中国本土参数，甚至是分区域、分行业参数。</w:t>
      </w:r>
    </w:p>
    <w:p>
      <w:pPr>
        <w:pStyle w:val="2"/>
        <w:keepNext/>
        <w:keepLines/>
        <w:pageBreakBefore w:val="0"/>
        <w:widowControl w:val="0"/>
        <w:kinsoku/>
        <w:wordWrap/>
        <w:overflowPunct/>
        <w:topLinePunct w:val="0"/>
        <w:autoSpaceDE/>
        <w:autoSpaceDN/>
        <w:bidi w:val="0"/>
        <w:adjustRightInd/>
        <w:snapToGrid w:val="0"/>
        <w:spacing w:before="313" w:beforeLines="100" w:after="156"/>
        <w:textAlignment w:val="auto"/>
        <w:rPr>
          <w:rFonts w:hint="default" w:ascii="Times New Roman" w:hAnsi="Times New Roman" w:cs="Times New Roman"/>
          <w:color w:val="000000" w:themeColor="text1"/>
          <w14:textFill>
            <w14:solidFill>
              <w14:schemeClr w14:val="tx1"/>
            </w14:solidFill>
          </w14:textFill>
        </w:rPr>
      </w:pPr>
      <w:bookmarkStart w:id="20" w:name="_Toc9301"/>
      <w:r>
        <w:rPr>
          <w:rFonts w:hint="default" w:ascii="Times New Roman" w:hAnsi="Times New Roman" w:cs="Times New Roman"/>
          <w:color w:val="000000" w:themeColor="text1"/>
          <w14:textFill>
            <w14:solidFill>
              <w14:schemeClr w14:val="tx1"/>
            </w14:solidFill>
          </w14:textFill>
        </w:rPr>
        <w:t>3 生命周期数据清单分析</w:t>
      </w:r>
      <w:bookmarkEnd w:id="20"/>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本研究的生命周期数据包括</w:t>
      </w:r>
      <w:r>
        <w:rPr>
          <w:rFonts w:hint="default" w:ascii="Times New Roman" w:hAnsi="Times New Roman" w:cs="Times New Roman"/>
          <w:color w:val="000000" w:themeColor="text1"/>
          <w:lang w:val="en-US" w:eastAsia="zh-CN"/>
          <w14:textFill>
            <w14:solidFill>
              <w14:schemeClr w14:val="tx1"/>
            </w14:solidFill>
          </w14:textFill>
        </w:rPr>
        <w:t>实</w:t>
      </w:r>
      <w:r>
        <w:rPr>
          <w:rFonts w:hint="default" w:ascii="Times New Roman" w:hAnsi="Times New Roman" w:cs="Times New Roman"/>
          <w:color w:val="000000" w:themeColor="text1"/>
          <w14:textFill>
            <w14:solidFill>
              <w14:schemeClr w14:val="tx1"/>
            </w14:solidFill>
          </w14:textFill>
        </w:rPr>
        <w:t>景数据和背景数据。</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实</w:t>
      </w:r>
      <w:r>
        <w:rPr>
          <w:rFonts w:hint="default" w:ascii="Times New Roman" w:hAnsi="Times New Roman" w:cs="Times New Roman"/>
          <w:color w:val="000000" w:themeColor="text1"/>
          <w14:textFill>
            <w14:solidFill>
              <w14:schemeClr w14:val="tx1"/>
            </w14:solidFill>
          </w14:textFill>
        </w:rPr>
        <w:t>景数据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由</w:t>
      </w:r>
      <w:r>
        <w:rPr>
          <w:rFonts w:hint="default" w:ascii="Times New Roman" w:hAnsi="Times New Roman" w:cs="Times New Roman"/>
          <w:color w:val="000000" w:themeColor="text1"/>
          <w:lang w:val="en-US" w:eastAsia="zh-CN"/>
          <w14:textFill>
            <w14:solidFill>
              <w14:schemeClr w14:val="tx1"/>
            </w14:solidFill>
          </w14:textFill>
        </w:rPr>
        <w:t>浙江莫干山食业有限公司工程部</w:t>
      </w:r>
      <w:r>
        <w:rPr>
          <w:rFonts w:hint="default" w:ascii="Times New Roman" w:hAnsi="Times New Roman" w:cs="Times New Roman"/>
          <w:color w:val="000000" w:themeColor="text1"/>
          <w:lang w:val="en-US" w:eastAsia="zh-CN"/>
          <w14:textFill>
            <w14:solidFill>
              <w14:schemeClr w14:val="tx1"/>
            </w14:solidFill>
          </w14:textFill>
        </w:rPr>
        <w:t>和财务部</w:t>
      </w:r>
      <w:r>
        <w:rPr>
          <w:rFonts w:hint="default" w:ascii="Times New Roman" w:hAnsi="Times New Roman" w:cs="Times New Roman"/>
          <w:color w:val="000000" w:themeColor="text1"/>
          <w14:textFill>
            <w14:solidFill>
              <w14:schemeClr w14:val="tx1"/>
            </w14:solidFill>
          </w14:textFill>
        </w:rPr>
        <w:t>的工作人员收集提供。</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背景数据</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来自Ecoinvent数据库。这些数据属于“从摇篮到大门”类别。</w:t>
      </w:r>
    </w:p>
    <w:p>
      <w:pPr>
        <w:pStyle w:val="3"/>
        <w:rPr>
          <w:rFonts w:hint="default" w:ascii="Times New Roman" w:hAnsi="Times New Roman" w:cs="Times New Roman"/>
          <w:color w:val="000000" w:themeColor="text1"/>
          <w14:textFill>
            <w14:solidFill>
              <w14:schemeClr w14:val="tx1"/>
            </w14:solidFill>
          </w14:textFill>
        </w:rPr>
      </w:pPr>
      <w:bookmarkStart w:id="21" w:name="_Toc18675"/>
      <w:r>
        <w:rPr>
          <w:rFonts w:hint="default" w:ascii="Times New Roman" w:hAnsi="Times New Roman" w:cs="Times New Roman"/>
          <w:color w:val="000000" w:themeColor="text1"/>
          <w14:textFill>
            <w14:solidFill>
              <w14:schemeClr w14:val="tx1"/>
            </w14:solidFill>
          </w14:textFill>
        </w:rPr>
        <w:t>3.1 数据收集与数据质量管理</w:t>
      </w:r>
      <w:bookmarkEnd w:id="21"/>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本报告所收集的用来计算标的产品碳足迹的数据质量符合ISO 14067:2018规范第6.3.5章节的规定：</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1）时间覆盖范畴：所收集的活动数据发生在202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月1日至202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月31日；</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2）地域特征：排放因子优先选用物料的主要产地或过程的发生地数据，数据库排放因子的依据地理原则选取；</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3）关于技术覆盖面：排放因子优先选取与标的产品工艺、技术一致的数据；</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4）关于信息的准确性：选择最准确的数据；</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5）完整性：所有活动数据都被测量，不存在数据缺失或者代表性不够等问题，排放因子未使用替代数据；</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6）代表性：所有活动数据的收集覆盖统计期标的产品的全部订单，能代表所研究产品的平均生产水平及相应排放；</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7）一致性：各部分数据按照一致的质量要求和资料选取顺序进行搜集和统计；</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8）重现性：本报告中的数据、方法及过程均可在再现，计算过程及结果单独保存为EXCEL文件；</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9）数据来源：</w:t>
      </w:r>
      <w:r>
        <w:rPr>
          <w:rFonts w:hint="default" w:ascii="Times New Roman" w:hAnsi="Times New Roman" w:cs="Times New Roman"/>
          <w:color w:val="000000" w:themeColor="text1"/>
          <w14:textFill>
            <w14:solidFill>
              <w14:schemeClr w14:val="tx1"/>
            </w14:solidFill>
          </w14:textFill>
        </w:rPr>
        <w:t>活</w:t>
      </w:r>
      <w:bookmarkStart w:id="22" w:name="OLE_LINK17"/>
      <w:r>
        <w:rPr>
          <w:rFonts w:hint="default" w:ascii="Times New Roman" w:hAnsi="Times New Roman" w:cs="Times New Roman"/>
          <w:color w:val="000000" w:themeColor="text1"/>
          <w14:textFill>
            <w14:solidFill>
              <w14:schemeClr w14:val="tx1"/>
            </w14:solidFill>
          </w14:textFill>
        </w:rPr>
        <w:t>动数据来自于</w:t>
      </w:r>
      <w:bookmarkStart w:id="23" w:name="OLE_LINK21"/>
      <w:r>
        <w:rPr>
          <w:rFonts w:hint="default" w:ascii="Times New Roman" w:hAnsi="Times New Roman" w:cs="Times New Roman"/>
          <w:color w:val="000000" w:themeColor="text1"/>
          <w:lang w:val="en-US" w:eastAsia="zh-CN"/>
          <w14:textFill>
            <w14:solidFill>
              <w14:schemeClr w14:val="tx1"/>
            </w14:solidFill>
          </w14:textFill>
        </w:rPr>
        <w:t>生产物料清单</w:t>
      </w:r>
      <w:bookmarkEnd w:id="22"/>
      <w:bookmarkEnd w:id="23"/>
      <w:r>
        <w:rPr>
          <w:rFonts w:hint="default" w:ascii="Times New Roman" w:hAnsi="Times New Roman" w:cs="Times New Roman"/>
          <w:color w:val="000000" w:themeColor="text1"/>
          <w14:textFill>
            <w14:solidFill>
              <w14:schemeClr w14:val="tx1"/>
            </w14:solidFill>
          </w14:textFill>
        </w:rPr>
        <w:t>、车间生产记录、水发票、电力发票等，排放因子来自Ecoinvent 数据库。</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本报告中其他有关数据质量的工作内容如下所述：</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产品生命周期碳足迹清单品质管理：在活动数据收集中，每一项数据的收集都对应着相应的数据质量，尽量使用经过测量的数据质量较高的原始数据，但由于产品系统不可避免的需要进行分配，会影响最终的数据质量；</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2）产品生命周期碳足迹清单品质管理人员：工作小组保留了各部门收集信息获取数据的负责人姓名及联系方式。</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碳足迹计算数据品质定义、活动数据来源如表 3-1、表 3-2所示：</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表3-1 数据品质定义</w:t>
      </w:r>
    </w:p>
    <w:tbl>
      <w:tblPr>
        <w:tblStyle w:val="22"/>
        <w:tblW w:w="8359" w:type="dxa"/>
        <w:jc w:val="center"/>
        <w:tblLayout w:type="fixed"/>
        <w:tblCellMar>
          <w:top w:w="71" w:type="dxa"/>
          <w:left w:w="108" w:type="dxa"/>
          <w:bottom w:w="0" w:type="dxa"/>
          <w:right w:w="10" w:type="dxa"/>
        </w:tblCellMar>
      </w:tblPr>
      <w:tblGrid>
        <w:gridCol w:w="2830"/>
        <w:gridCol w:w="5529"/>
      </w:tblGrid>
      <w:tr>
        <w:tblPrEx>
          <w:tblCellMar>
            <w:top w:w="71" w:type="dxa"/>
            <w:left w:w="108" w:type="dxa"/>
            <w:bottom w:w="0" w:type="dxa"/>
            <w:right w:w="10" w:type="dxa"/>
          </w:tblCellMar>
        </w:tblPrEx>
        <w:trPr>
          <w:cantSplit/>
          <w:trHeight w:val="454" w:hRule="atLeast"/>
          <w:jc w:val="center"/>
        </w:trPr>
        <w:tc>
          <w:tcPr>
            <w:tcW w:w="283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napToGrid/>
              <w:ind w:right="0"/>
              <w:jc w:val="center"/>
              <w:textAlignment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数据质量</w:t>
            </w:r>
          </w:p>
        </w:tc>
        <w:tc>
          <w:tcPr>
            <w:tcW w:w="552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定义</w:t>
            </w:r>
          </w:p>
        </w:tc>
      </w:tr>
      <w:tr>
        <w:tblPrEx>
          <w:tblCellMar>
            <w:top w:w="71" w:type="dxa"/>
            <w:left w:w="108" w:type="dxa"/>
            <w:bottom w:w="0" w:type="dxa"/>
            <w:right w:w="10" w:type="dxa"/>
          </w:tblCellMar>
        </w:tblPrEx>
        <w:trPr>
          <w:cantSplit/>
          <w:trHeight w:val="454" w:hRule="atLeast"/>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w:t>
            </w:r>
          </w:p>
        </w:tc>
        <w:tc>
          <w:tcPr>
            <w:tcW w:w="55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引用初级活动数据</w:t>
            </w:r>
          </w:p>
        </w:tc>
      </w:tr>
      <w:tr>
        <w:tblPrEx>
          <w:tblCellMar>
            <w:top w:w="71" w:type="dxa"/>
            <w:left w:w="108" w:type="dxa"/>
            <w:bottom w:w="0" w:type="dxa"/>
            <w:right w:w="10" w:type="dxa"/>
          </w:tblCellMar>
        </w:tblPrEx>
        <w:trPr>
          <w:cantSplit/>
          <w:trHeight w:val="454" w:hRule="atLeast"/>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w:t>
            </w:r>
          </w:p>
        </w:tc>
        <w:tc>
          <w:tcPr>
            <w:tcW w:w="55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引用次级活动数据</w:t>
            </w:r>
          </w:p>
        </w:tc>
      </w:tr>
      <w:tr>
        <w:tblPrEx>
          <w:tblCellMar>
            <w:top w:w="71" w:type="dxa"/>
            <w:left w:w="108" w:type="dxa"/>
            <w:bottom w:w="0" w:type="dxa"/>
            <w:right w:w="10" w:type="dxa"/>
          </w:tblCellMar>
        </w:tblPrEx>
        <w:trPr>
          <w:cantSplit/>
          <w:trHeight w:val="454" w:hRule="atLeast"/>
          <w:jc w:val="center"/>
        </w:trPr>
        <w:tc>
          <w:tcPr>
            <w:tcW w:w="2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低</w:t>
            </w:r>
          </w:p>
        </w:tc>
        <w:tc>
          <w:tcPr>
            <w:tcW w:w="55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ind w:right="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引用推估数据</w:t>
            </w:r>
          </w:p>
        </w:tc>
      </w:tr>
    </w:tbl>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表3-2 碳足迹评价鉴别及数据质量</w:t>
      </w:r>
    </w:p>
    <w:tbl>
      <w:tblPr>
        <w:tblStyle w:val="10"/>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349"/>
        <w:gridCol w:w="1293"/>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41"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过程名称</w:t>
            </w:r>
          </w:p>
        </w:tc>
        <w:tc>
          <w:tcPr>
            <w:tcW w:w="789"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数据项</w:t>
            </w:r>
          </w:p>
        </w:tc>
        <w:tc>
          <w:tcPr>
            <w:tcW w:w="756"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数据质量</w:t>
            </w:r>
          </w:p>
        </w:tc>
        <w:tc>
          <w:tcPr>
            <w:tcW w:w="2713"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1" w:type="pct"/>
            <w:vMerge w:val="restar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原材料的获取和运输</w:t>
            </w:r>
          </w:p>
        </w:tc>
        <w:tc>
          <w:tcPr>
            <w:tcW w:w="789"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原材料的消耗量</w:t>
            </w:r>
          </w:p>
        </w:tc>
        <w:tc>
          <w:tcPr>
            <w:tcW w:w="7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初级数据</w:t>
            </w:r>
          </w:p>
        </w:tc>
        <w:tc>
          <w:tcPr>
            <w:tcW w:w="2713" w:type="pct"/>
            <w:shd w:val="clear" w:color="auto" w:fill="auto"/>
            <w:vAlign w:val="center"/>
          </w:tcPr>
          <w:p>
            <w:pPr>
              <w:widowControl/>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原材料的消耗量来自企业生产记录。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1" w:type="pct"/>
            <w:vMerge w:val="continue"/>
            <w:shd w:val="clear" w:color="auto" w:fill="auto"/>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9"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运输距离</w:t>
            </w:r>
          </w:p>
        </w:tc>
        <w:tc>
          <w:tcPr>
            <w:tcW w:w="7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次级数据</w:t>
            </w:r>
          </w:p>
        </w:tc>
        <w:tc>
          <w:tcPr>
            <w:tcW w:w="2713" w:type="pct"/>
            <w:shd w:val="clear" w:color="auto" w:fill="auto"/>
            <w:vAlign w:val="center"/>
          </w:tcPr>
          <w:p>
            <w:pPr>
              <w:widowControl/>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该过程的数据来源于企业原材料购入合同，始发地与目的地之间的估测距离。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1" w:type="pct"/>
            <w:vMerge w:val="continue"/>
            <w:shd w:val="clear" w:color="auto" w:fill="auto"/>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789"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运输方式</w:t>
            </w:r>
          </w:p>
        </w:tc>
        <w:tc>
          <w:tcPr>
            <w:tcW w:w="7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次级数据</w:t>
            </w:r>
          </w:p>
        </w:tc>
        <w:tc>
          <w:tcPr>
            <w:tcW w:w="2713" w:type="pct"/>
            <w:shd w:val="clear" w:color="auto" w:fill="auto"/>
            <w:vAlign w:val="center"/>
          </w:tcPr>
          <w:p>
            <w:pPr>
              <w:widowControl/>
              <w:jc w:val="left"/>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该过程数据来源于上游企业的调研结果。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41" w:type="pct"/>
            <w:shd w:val="clear" w:color="auto" w:fill="auto"/>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生产阶段</w:t>
            </w:r>
          </w:p>
        </w:tc>
        <w:tc>
          <w:tcPr>
            <w:tcW w:w="789"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lang w:bidi="ar"/>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能源消耗</w:t>
            </w:r>
          </w:p>
        </w:tc>
        <w:tc>
          <w:tcPr>
            <w:tcW w:w="7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lang w:bidi="ar"/>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初级数据</w:t>
            </w:r>
          </w:p>
        </w:tc>
        <w:tc>
          <w:tcPr>
            <w:tcW w:w="2713" w:type="pct"/>
            <w:shd w:val="clear" w:color="auto" w:fill="auto"/>
            <w:vAlign w:val="center"/>
          </w:tcPr>
          <w:p>
            <w:pPr>
              <w:widowControl/>
              <w:jc w:val="left"/>
              <w:textAlignment w:val="center"/>
              <w:rPr>
                <w:rFonts w:hint="default" w:ascii="Times New Roman" w:hAnsi="Times New Roman" w:eastAsia="仿宋_GB2312" w:cs="Times New Roman"/>
                <w:color w:val="000000" w:themeColor="text1"/>
                <w:sz w:val="24"/>
                <w:szCs w:val="24"/>
                <w:lang w:bidi="ar"/>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能源的消耗量来自企业生产及财务统计。</w:t>
            </w:r>
          </w:p>
        </w:tc>
      </w:tr>
    </w:tbl>
    <w:p>
      <w:pPr>
        <w:pStyle w:val="3"/>
        <w:rPr>
          <w:rFonts w:hint="default" w:ascii="Times New Roman" w:hAnsi="Times New Roman" w:cs="Times New Roman"/>
          <w:color w:val="000000" w:themeColor="text1"/>
          <w14:textFill>
            <w14:solidFill>
              <w14:schemeClr w14:val="tx1"/>
            </w14:solidFill>
          </w14:textFill>
        </w:rPr>
      </w:pPr>
      <w:bookmarkStart w:id="24" w:name="_Toc21124"/>
      <w:r>
        <w:rPr>
          <w:rFonts w:hint="default" w:ascii="Times New Roman" w:hAnsi="Times New Roman" w:cs="Times New Roman"/>
          <w:color w:val="000000" w:themeColor="text1"/>
          <w14:textFill>
            <w14:solidFill>
              <w14:schemeClr w14:val="tx1"/>
            </w14:solidFill>
          </w14:textFill>
        </w:rPr>
        <w:t>3.2 计算方法</w:t>
      </w:r>
      <w:bookmarkEnd w:id="24"/>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在产品生命周期建模过程中将系统分成原材料获取及运输阶段，生产阶段。产品碳足迹的计算公式是产品整个生命周期中所有活动的所有材料、能源和废弃物乘以其碳足迹特征化因子后求和。其计算公式如下：</w:t>
      </w:r>
    </w:p>
    <w:p>
      <w:pPr>
        <w:autoSpaceDE w:val="0"/>
        <w:autoSpaceDN w:val="0"/>
        <w:adjustRightInd w:val="0"/>
        <w:spacing w:line="360" w:lineRule="auto"/>
        <w:rPr>
          <w:rFonts w:hint="default" w:ascii="Times New Roman" w:hAnsi="Times New Roman" w:eastAsia="宋体" w:cs="Times New Roman"/>
          <w:bCs/>
          <w:color w:val="000000" w:themeColor="text1"/>
          <w:kern w:val="0"/>
          <w:sz w:val="24"/>
          <w:szCs w:val="24"/>
          <w14:textFill>
            <w14:solidFill>
              <w14:schemeClr w14:val="tx1"/>
            </w14:solidFill>
          </w14:textFill>
        </w:rPr>
      </w:pPr>
      <m:oMathPara>
        <m:oMath>
          <m:r>
            <m:rPr>
              <m:sty m:val="bi"/>
            </m:rPr>
            <w:rPr>
              <w:rFonts w:hint="default" w:ascii="Cambria Math" w:hAnsi="Cambria Math" w:eastAsia="宋体" w:cs="Times New Roman"/>
              <w:color w:val="000000" w:themeColor="text1"/>
              <w:kern w:val="0"/>
              <w:sz w:val="24"/>
              <w:szCs w:val="24"/>
              <w14:textFill>
                <w14:solidFill>
                  <w14:schemeClr w14:val="tx1"/>
                </w14:solidFill>
              </w14:textFill>
            </w:rPr>
            <m:t>CF</m:t>
          </m:r>
          <m:r>
            <m:rPr>
              <m:sty m:val="p"/>
            </m:rPr>
            <w:rPr>
              <w:rFonts w:hint="default" w:ascii="Cambria Math" w:hAnsi="Cambria Math" w:eastAsia="宋体" w:cs="Times New Roman"/>
              <w:color w:val="000000" w:themeColor="text1"/>
              <w:kern w:val="0"/>
              <w:sz w:val="24"/>
              <w:szCs w:val="24"/>
              <w14:textFill>
                <w14:solidFill>
                  <w14:schemeClr w14:val="tx1"/>
                </w14:solidFill>
              </w14:textFill>
            </w:rPr>
            <m:t>=</m:t>
          </m:r>
          <m:nary>
            <m:naryPr>
              <m:chr m:val="∑"/>
              <m:limLoc m:val="undOvr"/>
              <m:ctrlPr>
                <w:rPr>
                  <w:rFonts w:hint="default" w:ascii="Cambria Math" w:hAnsi="Cambria Math" w:eastAsia="宋体" w:cs="Times New Roman"/>
                  <w:bCs/>
                  <w:color w:val="000000" w:themeColor="text1"/>
                  <w:kern w:val="0"/>
                  <w:sz w:val="24"/>
                  <w:szCs w:val="24"/>
                  <w14:textFill>
                    <w14:solidFill>
                      <w14:schemeClr w14:val="tx1"/>
                    </w14:solidFill>
                  </w14:textFill>
                </w:rPr>
              </m:ctrlPr>
            </m:naryPr>
            <m:sub>
              <m:r>
                <m:rPr>
                  <m:sty m:val="bi"/>
                </m:rPr>
                <w:rPr>
                  <w:rFonts w:hint="default" w:ascii="Cambria Math" w:hAnsi="Cambria Math" w:eastAsia="宋体" w:cs="Times New Roman"/>
                  <w:color w:val="000000" w:themeColor="text1"/>
                  <w:kern w:val="0"/>
                  <w:sz w:val="24"/>
                  <w:szCs w:val="24"/>
                  <w14:textFill>
                    <w14:solidFill>
                      <w14:schemeClr w14:val="tx1"/>
                    </w14:solidFill>
                  </w14:textFill>
                </w:rPr>
                <m:t>i</m:t>
              </m:r>
              <m:r>
                <m:rPr>
                  <m:sty m:val="p"/>
                </m:rPr>
                <w:rPr>
                  <w:rFonts w:hint="default" w:ascii="Cambria Math" w:hAnsi="Cambria Math" w:eastAsia="宋体" w:cs="Times New Roman"/>
                  <w:color w:val="000000" w:themeColor="text1"/>
                  <w:kern w:val="0"/>
                  <w:sz w:val="24"/>
                  <w:szCs w:val="24"/>
                  <w14:textFill>
                    <w14:solidFill>
                      <w14:schemeClr w14:val="tx1"/>
                    </w14:solidFill>
                  </w14:textFill>
                </w:rPr>
                <m:t>=</m:t>
              </m:r>
              <m:r>
                <m:rPr>
                  <m:sty m:val="b"/>
                </m:rPr>
                <w:rPr>
                  <w:rFonts w:hint="default" w:ascii="Cambria Math" w:hAnsi="Cambria Math" w:eastAsia="宋体" w:cs="Times New Roman"/>
                  <w:color w:val="000000" w:themeColor="text1"/>
                  <w:kern w:val="0"/>
                  <w:sz w:val="24"/>
                  <w:szCs w:val="24"/>
                  <w14:textFill>
                    <w14:solidFill>
                      <w14:schemeClr w14:val="tx1"/>
                    </w14:solidFill>
                  </w14:textFill>
                </w:rPr>
                <m:t>1</m:t>
              </m:r>
              <m:ctrlPr>
                <w:rPr>
                  <w:rFonts w:hint="default" w:ascii="Cambria Math" w:hAnsi="Cambria Math" w:eastAsia="宋体" w:cs="Times New Roman"/>
                  <w:bCs/>
                  <w:color w:val="000000" w:themeColor="text1"/>
                  <w:kern w:val="0"/>
                  <w:sz w:val="24"/>
                  <w:szCs w:val="24"/>
                  <w14:textFill>
                    <w14:solidFill>
                      <w14:schemeClr w14:val="tx1"/>
                    </w14:solidFill>
                  </w14:textFill>
                </w:rPr>
              </m:ctrlPr>
            </m:sub>
            <m:sup>
              <m:r>
                <m:rPr>
                  <m:sty m:val="bi"/>
                </m:rPr>
                <w:rPr>
                  <w:rFonts w:hint="default" w:ascii="Cambria Math" w:hAnsi="Cambria Math" w:eastAsia="宋体" w:cs="Times New Roman"/>
                  <w:color w:val="000000" w:themeColor="text1"/>
                  <w:kern w:val="0"/>
                  <w:sz w:val="24"/>
                  <w:szCs w:val="24"/>
                  <w14:textFill>
                    <w14:solidFill>
                      <w14:schemeClr w14:val="tx1"/>
                    </w14:solidFill>
                  </w14:textFill>
                </w:rPr>
                <m:t>n</m:t>
              </m:r>
              <m:ctrlPr>
                <w:rPr>
                  <w:rFonts w:hint="default" w:ascii="Cambria Math" w:hAnsi="Cambria Math" w:eastAsia="宋体" w:cs="Times New Roman"/>
                  <w:bCs/>
                  <w:color w:val="000000" w:themeColor="text1"/>
                  <w:kern w:val="0"/>
                  <w:sz w:val="24"/>
                  <w:szCs w:val="24"/>
                  <w14:textFill>
                    <w14:solidFill>
                      <w14:schemeClr w14:val="tx1"/>
                    </w14:solidFill>
                  </w14:textFill>
                </w:rPr>
              </m:ctrlPr>
            </m:sup>
            <m:e>
              <m:sSub>
                <m:sSubPr>
                  <m:ctrlPr>
                    <w:rPr>
                      <w:rFonts w:hint="default" w:ascii="Cambria Math" w:hAnsi="Cambria Math" w:eastAsia="宋体" w:cs="Times New Roman"/>
                      <w:bCs/>
                      <w:color w:val="000000" w:themeColor="text1"/>
                      <w:kern w:val="0"/>
                      <w:sz w:val="24"/>
                      <w:szCs w:val="24"/>
                      <w14:textFill>
                        <w14:solidFill>
                          <w14:schemeClr w14:val="tx1"/>
                        </w14:solidFill>
                      </w14:textFill>
                    </w:rPr>
                  </m:ctrlPr>
                </m:sSubPr>
                <m:e>
                  <m:r>
                    <m:rPr>
                      <m:sty m:val="bi"/>
                    </m:rPr>
                    <w:rPr>
                      <w:rFonts w:hint="default" w:ascii="Cambria Math" w:hAnsi="Cambria Math" w:eastAsia="宋体" w:cs="Times New Roman"/>
                      <w:color w:val="000000" w:themeColor="text1"/>
                      <w:kern w:val="0"/>
                      <w:sz w:val="24"/>
                      <w:szCs w:val="24"/>
                      <w14:textFill>
                        <w14:solidFill>
                          <w14:schemeClr w14:val="tx1"/>
                        </w14:solidFill>
                      </w14:textFill>
                    </w:rPr>
                    <m:t>P</m:t>
                  </m:r>
                  <m:ctrlPr>
                    <w:rPr>
                      <w:rFonts w:hint="default" w:ascii="Cambria Math" w:hAnsi="Cambria Math" w:eastAsia="宋体" w:cs="Times New Roman"/>
                      <w:bCs/>
                      <w:color w:val="000000" w:themeColor="text1"/>
                      <w:kern w:val="0"/>
                      <w:sz w:val="24"/>
                      <w:szCs w:val="24"/>
                      <w14:textFill>
                        <w14:solidFill>
                          <w14:schemeClr w14:val="tx1"/>
                        </w14:solidFill>
                      </w14:textFill>
                    </w:rPr>
                  </m:ctrlPr>
                </m:e>
                <m:sub>
                  <m:r>
                    <m:rPr>
                      <m:sty m:val="bi"/>
                    </m:rPr>
                    <w:rPr>
                      <w:rFonts w:hint="default" w:ascii="Cambria Math" w:hAnsi="Cambria Math" w:eastAsia="宋体" w:cs="Times New Roman"/>
                      <w:color w:val="000000" w:themeColor="text1"/>
                      <w:kern w:val="0"/>
                      <w:sz w:val="24"/>
                      <w:szCs w:val="24"/>
                      <w14:textFill>
                        <w14:solidFill>
                          <w14:schemeClr w14:val="tx1"/>
                        </w14:solidFill>
                      </w14:textFill>
                    </w:rPr>
                    <m:t>i</m:t>
                  </m:r>
                  <m:ctrlPr>
                    <w:rPr>
                      <w:rFonts w:hint="default" w:ascii="Cambria Math" w:hAnsi="Cambria Math" w:eastAsia="宋体" w:cs="Times New Roman"/>
                      <w:bCs/>
                      <w:color w:val="000000" w:themeColor="text1"/>
                      <w:kern w:val="0"/>
                      <w:sz w:val="24"/>
                      <w:szCs w:val="24"/>
                      <w14:textFill>
                        <w14:solidFill>
                          <w14:schemeClr w14:val="tx1"/>
                        </w14:solidFill>
                      </w14:textFill>
                    </w:rPr>
                  </m:ctrlPr>
                </m:sub>
              </m:sSub>
              <m:r>
                <m:rPr>
                  <m:sty m:val="p"/>
                </m:rPr>
                <w:rPr>
                  <w:rFonts w:hint="default" w:ascii="Cambria Math" w:hAnsi="Cambria Math" w:eastAsia="宋体" w:cs="Times New Roman"/>
                  <w:color w:val="000000" w:themeColor="text1"/>
                  <w:kern w:val="0"/>
                  <w:sz w:val="24"/>
                  <w:szCs w:val="24"/>
                  <w14:textFill>
                    <w14:solidFill>
                      <w14:schemeClr w14:val="tx1"/>
                    </w14:solidFill>
                  </w14:textFill>
                </w:rPr>
                <m:t>×</m:t>
              </m:r>
              <m:sSub>
                <m:sSubPr>
                  <m:ctrlPr>
                    <w:rPr>
                      <w:rFonts w:hint="default" w:ascii="Cambria Math" w:hAnsi="Cambria Math" w:eastAsia="宋体" w:cs="Times New Roman"/>
                      <w:bCs/>
                      <w:color w:val="000000" w:themeColor="text1"/>
                      <w:kern w:val="0"/>
                      <w:sz w:val="24"/>
                      <w:szCs w:val="24"/>
                      <w14:textFill>
                        <w14:solidFill>
                          <w14:schemeClr w14:val="tx1"/>
                        </w14:solidFill>
                      </w14:textFill>
                    </w:rPr>
                  </m:ctrlPr>
                </m:sSubPr>
                <m:e>
                  <m:r>
                    <m:rPr>
                      <m:sty m:val="bi"/>
                    </m:rPr>
                    <w:rPr>
                      <w:rFonts w:hint="default" w:ascii="Cambria Math" w:hAnsi="Cambria Math" w:eastAsia="宋体" w:cs="Times New Roman"/>
                      <w:color w:val="000000" w:themeColor="text1"/>
                      <w:kern w:val="0"/>
                      <w:sz w:val="24"/>
                      <w:szCs w:val="24"/>
                      <w14:textFill>
                        <w14:solidFill>
                          <w14:schemeClr w14:val="tx1"/>
                        </w14:solidFill>
                      </w14:textFill>
                    </w:rPr>
                    <m:t>Q</m:t>
                  </m:r>
                  <m:ctrlPr>
                    <w:rPr>
                      <w:rFonts w:hint="default" w:ascii="Cambria Math" w:hAnsi="Cambria Math" w:eastAsia="宋体" w:cs="Times New Roman"/>
                      <w:bCs/>
                      <w:color w:val="000000" w:themeColor="text1"/>
                      <w:kern w:val="0"/>
                      <w:sz w:val="24"/>
                      <w:szCs w:val="24"/>
                      <w14:textFill>
                        <w14:solidFill>
                          <w14:schemeClr w14:val="tx1"/>
                        </w14:solidFill>
                      </w14:textFill>
                    </w:rPr>
                  </m:ctrlPr>
                </m:e>
                <m:sub>
                  <m:r>
                    <m:rPr>
                      <m:sty m:val="bi"/>
                    </m:rPr>
                    <w:rPr>
                      <w:rFonts w:hint="default" w:ascii="Cambria Math" w:hAnsi="Cambria Math" w:eastAsia="宋体" w:cs="Times New Roman"/>
                      <w:color w:val="000000" w:themeColor="text1"/>
                      <w:kern w:val="0"/>
                      <w:sz w:val="24"/>
                      <w:szCs w:val="24"/>
                      <w14:textFill>
                        <w14:solidFill>
                          <w14:schemeClr w14:val="tx1"/>
                        </w14:solidFill>
                      </w14:textFill>
                    </w:rPr>
                    <m:t>i</m:t>
                  </m:r>
                  <m:ctrlPr>
                    <w:rPr>
                      <w:rFonts w:hint="default" w:ascii="Cambria Math" w:hAnsi="Cambria Math" w:eastAsia="宋体" w:cs="Times New Roman"/>
                      <w:bCs/>
                      <w:color w:val="000000" w:themeColor="text1"/>
                      <w:kern w:val="0"/>
                      <w:sz w:val="24"/>
                      <w:szCs w:val="24"/>
                      <w14:textFill>
                        <w14:solidFill>
                          <w14:schemeClr w14:val="tx1"/>
                        </w14:solidFill>
                      </w14:textFill>
                    </w:rPr>
                  </m:ctrlPr>
                </m:sub>
              </m:sSub>
              <m:ctrlPr>
                <w:rPr>
                  <w:rFonts w:hint="default" w:ascii="Cambria Math" w:hAnsi="Cambria Math" w:eastAsia="宋体" w:cs="Times New Roman"/>
                  <w:bCs/>
                  <w:color w:val="000000" w:themeColor="text1"/>
                  <w:kern w:val="0"/>
                  <w:sz w:val="24"/>
                  <w:szCs w:val="24"/>
                  <w14:textFill>
                    <w14:solidFill>
                      <w14:schemeClr w14:val="tx1"/>
                    </w14:solidFill>
                  </w14:textFill>
                </w:rPr>
              </m:ctrlPr>
            </m:e>
          </m:nary>
        </m:oMath>
      </m:oMathPara>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其中，CF为碳足迹排放量，i为活动水平数据种类，P为活动水平数据，Q为碳足迹特征化因子。</w:t>
      </w:r>
    </w:p>
    <w:p>
      <w:pPr>
        <w:pStyle w:val="3"/>
        <w:rPr>
          <w:rFonts w:hint="default" w:ascii="Times New Roman" w:hAnsi="Times New Roman" w:cs="Times New Roman"/>
          <w:color w:val="000000" w:themeColor="text1"/>
          <w14:textFill>
            <w14:solidFill>
              <w14:schemeClr w14:val="tx1"/>
            </w14:solidFill>
          </w14:textFill>
        </w:rPr>
      </w:pPr>
      <w:bookmarkStart w:id="25" w:name="_Toc14591"/>
      <w:r>
        <w:rPr>
          <w:rFonts w:hint="default" w:ascii="Times New Roman" w:hAnsi="Times New Roman" w:cs="Times New Roman"/>
          <w:color w:val="000000" w:themeColor="text1"/>
          <w14:textFill>
            <w14:solidFill>
              <w14:schemeClr w14:val="tx1"/>
            </w14:solidFill>
          </w14:textFill>
        </w:rPr>
        <w:t>3.3 假设与推估</w:t>
      </w:r>
      <w:bookmarkEnd w:id="25"/>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本报告中原材料、能源资源消耗等过程的活动水平数据收集完整，不涉及数据的假设与推估。</w:t>
      </w:r>
    </w:p>
    <w:p>
      <w:pPr>
        <w:pStyle w:val="3"/>
        <w:rPr>
          <w:rFonts w:hint="default" w:ascii="Times New Roman" w:hAnsi="Times New Roman" w:cs="Times New Roman"/>
          <w:color w:val="000000" w:themeColor="text1"/>
          <w14:textFill>
            <w14:solidFill>
              <w14:schemeClr w14:val="tx1"/>
            </w14:solidFill>
          </w14:textFill>
        </w:rPr>
      </w:pPr>
      <w:bookmarkStart w:id="26" w:name="_Toc32694"/>
      <w:r>
        <w:rPr>
          <w:rFonts w:hint="default" w:ascii="Times New Roman" w:hAnsi="Times New Roman" w:cs="Times New Roman"/>
          <w:color w:val="000000" w:themeColor="text1"/>
          <w14:textFill>
            <w14:solidFill>
              <w14:schemeClr w14:val="tx1"/>
            </w14:solidFill>
          </w14:textFill>
        </w:rPr>
        <w:t>3.4 原材料清单</w:t>
      </w:r>
      <w:bookmarkEnd w:id="26"/>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通过查询生产记录，</w:t>
      </w:r>
      <w:r>
        <w:rPr>
          <w:rFonts w:hint="default" w:ascii="Times New Roman" w:hAnsi="Times New Roman" w:cs="Times New Roman"/>
          <w:color w:val="000000" w:themeColor="text1"/>
          <w:lang w:val="en-US" w:eastAsia="zh-CN"/>
          <w14:textFill>
            <w14:solidFill>
              <w14:schemeClr w14:val="tx1"/>
            </w14:solidFill>
          </w14:textFill>
        </w:rPr>
        <w:t>结合</w:t>
      </w:r>
      <w:r>
        <w:rPr>
          <w:rFonts w:hint="default" w:ascii="Times New Roman" w:hAnsi="Times New Roman" w:cs="Times New Roman"/>
          <w:color w:val="000000" w:themeColor="text1"/>
          <w:lang w:val="en-US" w:eastAsia="zh-CN"/>
          <w14:textFill>
            <w14:solidFill>
              <w14:schemeClr w14:val="tx1"/>
            </w14:solidFill>
          </w14:textFill>
        </w:rPr>
        <w:t>生产物料清单</w:t>
      </w:r>
      <w:r>
        <w:rPr>
          <w:rFonts w:hint="default" w:ascii="Times New Roman" w:hAnsi="Times New Roman" w:cs="Times New Roman"/>
          <w:color w:val="000000" w:themeColor="text1"/>
          <w14:textFill>
            <w14:solidFill>
              <w14:schemeClr w14:val="tx1"/>
            </w14:solidFill>
          </w14:textFill>
        </w:rPr>
        <w:t>分析</w:t>
      </w:r>
      <w:r>
        <w:rPr>
          <w:rFonts w:hint="default" w:ascii="Times New Roman" w:hAnsi="Times New Roman" w:cs="Times New Roman"/>
          <w:color w:val="000000" w:themeColor="text1"/>
          <w14:textFill>
            <w14:solidFill>
              <w14:schemeClr w14:val="tx1"/>
            </w14:solidFill>
          </w14:textFill>
        </w:rPr>
        <w:t>，功能单位的原材料成分、用量及运输情况如表3-3所示。</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表3-3 原材料获取数据清单</w:t>
      </w:r>
      <w:bookmarkStart w:id="27" w:name="OLE_LINK23"/>
      <w:r>
        <w:rPr>
          <w:rFonts w:hint="default" w:ascii="Times New Roman" w:hAnsi="Times New Roman" w:eastAsia="仿宋_GB2312" w:cs="Times New Roman"/>
          <w:b/>
          <w:bCs/>
          <w:color w:val="000000" w:themeColor="text1"/>
          <w:sz w:val="24"/>
          <w:szCs w:val="24"/>
          <w14:textFill>
            <w14:solidFill>
              <w14:schemeClr w14:val="tx1"/>
            </w14:solidFill>
          </w14:textFill>
        </w:rPr>
        <w:t>（分配至功能单位）</w:t>
      </w:r>
      <w:bookmarkEnd w:id="27"/>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800"/>
        <w:gridCol w:w="1110"/>
        <w:gridCol w:w="780"/>
        <w:gridCol w:w="1245"/>
        <w:gridCol w:w="114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86" w:type="pct"/>
            <w:vMerge w:val="restart"/>
            <w:shd w:val="clear" w:color="auto" w:fill="DBDBDB"/>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材料类型</w:t>
            </w:r>
          </w:p>
        </w:tc>
        <w:tc>
          <w:tcPr>
            <w:tcW w:w="1056" w:type="pct"/>
            <w:vMerge w:val="restar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原材料名称</w:t>
            </w:r>
          </w:p>
        </w:tc>
        <w:tc>
          <w:tcPr>
            <w:tcW w:w="651" w:type="pct"/>
            <w:vMerge w:val="restart"/>
            <w:shd w:val="clear" w:color="auto" w:fill="DBDBDB"/>
            <w:vAlign w:val="center"/>
          </w:tcPr>
          <w:p>
            <w:pPr>
              <w:widowControl/>
              <w:jc w:val="center"/>
              <w:textAlignment w:val="center"/>
              <w:rPr>
                <w:rFonts w:hint="default" w:ascii="Times New Roman" w:hAnsi="Times New Roman" w:eastAsia="仿宋_GB2312" w:cs="Times New Roman"/>
                <w:b/>
                <w:bCs/>
                <w:color w:val="000000" w:themeColor="text1"/>
                <w:sz w:val="24"/>
                <w:szCs w:val="24"/>
                <w:lang w:bidi="ar"/>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原料购进量</w:t>
            </w:r>
          </w:p>
        </w:tc>
        <w:tc>
          <w:tcPr>
            <w:tcW w:w="457" w:type="pct"/>
            <w:vMerge w:val="restart"/>
            <w:shd w:val="clear" w:color="auto" w:fill="DBDBDB"/>
            <w:vAlign w:val="center"/>
          </w:tcPr>
          <w:p>
            <w:pPr>
              <w:widowControl/>
              <w:jc w:val="center"/>
              <w:textAlignment w:val="center"/>
              <w:rPr>
                <w:rFonts w:hint="default" w:ascii="Times New Roman" w:hAnsi="Times New Roman" w:eastAsia="仿宋_GB2312" w:cs="Times New Roman"/>
                <w:b/>
                <w:bCs/>
                <w:color w:val="000000" w:themeColor="text1"/>
                <w:sz w:val="24"/>
                <w:szCs w:val="24"/>
                <w:lang w:bidi="ar"/>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单位</w:t>
            </w:r>
          </w:p>
        </w:tc>
        <w:tc>
          <w:tcPr>
            <w:tcW w:w="730" w:type="pct"/>
            <w:vMerge w:val="restart"/>
            <w:shd w:val="clear" w:color="auto" w:fill="DBDBDB"/>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运输距离（km）</w:t>
            </w:r>
          </w:p>
        </w:tc>
        <w:tc>
          <w:tcPr>
            <w:tcW w:w="1518" w:type="pct"/>
            <w:gridSpan w:val="2"/>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86" w:type="pct"/>
            <w:vMerge w:val="continue"/>
            <w:shd w:val="clear" w:color="auto" w:fill="DBDBDB"/>
            <w:vAlign w:val="center"/>
          </w:tcPr>
          <w:p>
            <w:pPr>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1056" w:type="pct"/>
            <w:vMerge w:val="continue"/>
            <w:shd w:val="clear" w:color="auto" w:fill="DBDBDB"/>
            <w:noWrap/>
            <w:vAlign w:val="center"/>
          </w:tcPr>
          <w:p>
            <w:pPr>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tc>
        <w:tc>
          <w:tcPr>
            <w:tcW w:w="651" w:type="pct"/>
            <w:vMerge w:val="continue"/>
            <w:shd w:val="clear" w:color="auto" w:fill="DBDBDB"/>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p>
        </w:tc>
        <w:tc>
          <w:tcPr>
            <w:tcW w:w="457" w:type="pct"/>
            <w:vMerge w:val="continue"/>
            <w:shd w:val="clear" w:color="auto" w:fill="DBDBDB"/>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p>
        </w:tc>
        <w:tc>
          <w:tcPr>
            <w:tcW w:w="730" w:type="pct"/>
            <w:vMerge w:val="continue"/>
            <w:shd w:val="clear" w:color="auto" w:fill="DBDBDB"/>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p>
        </w:tc>
        <w:tc>
          <w:tcPr>
            <w:tcW w:w="668"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发货地</w:t>
            </w:r>
          </w:p>
        </w:tc>
        <w:tc>
          <w:tcPr>
            <w:tcW w:w="849" w:type="pct"/>
            <w:shd w:val="clear" w:color="auto" w:fill="DBDBDB"/>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lang w:bidi="ar"/>
                <w14:textFill>
                  <w14:solidFill>
                    <w14:schemeClr w14:val="tx1"/>
                  </w14:solidFill>
                </w14:textFill>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6"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主要原材料</w:t>
            </w:r>
          </w:p>
        </w:tc>
        <w:tc>
          <w:tcPr>
            <w:tcW w:w="10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安徽豆</w:t>
            </w:r>
          </w:p>
        </w:tc>
        <w:tc>
          <w:tcPr>
            <w:tcW w:w="1110" w:type="dxa"/>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0.1360 </w:t>
            </w:r>
          </w:p>
        </w:tc>
        <w:tc>
          <w:tcPr>
            <w:tcW w:w="457"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千克</w:t>
            </w:r>
          </w:p>
        </w:tc>
        <w:tc>
          <w:tcPr>
            <w:tcW w:w="730"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396</w:t>
            </w:r>
          </w:p>
        </w:tc>
        <w:tc>
          <w:tcPr>
            <w:tcW w:w="668"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蚌埠</w:t>
            </w:r>
          </w:p>
        </w:tc>
        <w:tc>
          <w:tcPr>
            <w:tcW w:w="849"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卡车，平均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6" w:type="pct"/>
            <w:vMerge w:val="restar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包装材料</w:t>
            </w:r>
          </w:p>
        </w:tc>
        <w:tc>
          <w:tcPr>
            <w:tcW w:w="10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卷膜</w:t>
            </w:r>
          </w:p>
        </w:tc>
        <w:tc>
          <w:tcPr>
            <w:tcW w:w="1110" w:type="dxa"/>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0.1343 </w:t>
            </w:r>
          </w:p>
        </w:tc>
        <w:tc>
          <w:tcPr>
            <w:tcW w:w="457"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千克</w:t>
            </w:r>
          </w:p>
        </w:tc>
        <w:tc>
          <w:tcPr>
            <w:tcW w:w="730"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86</w:t>
            </w:r>
          </w:p>
        </w:tc>
        <w:tc>
          <w:tcPr>
            <w:tcW w:w="668"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苏州</w:t>
            </w:r>
          </w:p>
        </w:tc>
        <w:tc>
          <w:tcPr>
            <w:tcW w:w="849"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卡车，平均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6" w:type="pct"/>
            <w:vMerge w:val="continue"/>
            <w:tcBorders/>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pPr>
          </w:p>
        </w:tc>
        <w:tc>
          <w:tcPr>
            <w:tcW w:w="105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pp包装盒</w:t>
            </w:r>
          </w:p>
        </w:tc>
        <w:tc>
          <w:tcPr>
            <w:tcW w:w="1110" w:type="dxa"/>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0.0054 </w:t>
            </w:r>
          </w:p>
        </w:tc>
        <w:tc>
          <w:tcPr>
            <w:tcW w:w="457" w:type="pct"/>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千克</w:t>
            </w:r>
          </w:p>
        </w:tc>
        <w:tc>
          <w:tcPr>
            <w:tcW w:w="730"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86</w:t>
            </w:r>
          </w:p>
        </w:tc>
        <w:tc>
          <w:tcPr>
            <w:tcW w:w="668" w:type="pct"/>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苏州</w:t>
            </w:r>
          </w:p>
        </w:tc>
        <w:tc>
          <w:tcPr>
            <w:tcW w:w="849"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卡车，平均</w:t>
            </w:r>
          </w:p>
        </w:tc>
      </w:tr>
    </w:tbl>
    <w:p>
      <w:pPr>
        <w:pStyle w:val="3"/>
        <w:rPr>
          <w:rFonts w:hint="default" w:ascii="Times New Roman" w:hAnsi="Times New Roman" w:cs="Times New Roman"/>
          <w:color w:val="000000" w:themeColor="text1"/>
          <w14:textFill>
            <w14:solidFill>
              <w14:schemeClr w14:val="tx1"/>
            </w14:solidFill>
          </w14:textFill>
        </w:rPr>
      </w:pPr>
      <w:bookmarkStart w:id="28" w:name="_Toc29191"/>
      <w:r>
        <w:rPr>
          <w:rFonts w:hint="default" w:ascii="Times New Roman" w:hAnsi="Times New Roman" w:cs="Times New Roman"/>
          <w:color w:val="000000" w:themeColor="text1"/>
          <w14:textFill>
            <w14:solidFill>
              <w14:schemeClr w14:val="tx1"/>
            </w14:solidFill>
          </w14:textFill>
        </w:rPr>
        <w:t>3.5 产品生产过程清单</w:t>
      </w:r>
      <w:bookmarkEnd w:id="28"/>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功能单位产品生产过程主要为产品制造阶段。其中，产品制造阶段的数据清单如表3-4所示。</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表3-4 产品制造阶段数据清单</w:t>
      </w:r>
      <w:r>
        <w:rPr>
          <w:rFonts w:hint="default" w:ascii="Times New Roman" w:hAnsi="Times New Roman" w:eastAsia="仿宋_GB2312" w:cs="Times New Roman"/>
          <w:b/>
          <w:bCs/>
          <w:color w:val="000000" w:themeColor="text1"/>
          <w:sz w:val="24"/>
          <w:szCs w:val="24"/>
          <w14:textFill>
            <w14:solidFill>
              <w14:schemeClr w14:val="tx1"/>
            </w14:solidFill>
          </w14:textFill>
        </w:rPr>
        <w:t>（分配至功能单位）</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1" w:type="dxa"/>
          <w:left w:w="110" w:type="dxa"/>
          <w:bottom w:w="0" w:type="dxa"/>
          <w:right w:w="65" w:type="dxa"/>
        </w:tblCellMar>
      </w:tblPr>
      <w:tblGrid>
        <w:gridCol w:w="1234"/>
        <w:gridCol w:w="1155"/>
        <w:gridCol w:w="750"/>
        <w:gridCol w:w="1500"/>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1" w:type="dxa"/>
            <w:left w:w="110" w:type="dxa"/>
            <w:bottom w:w="0" w:type="dxa"/>
            <w:right w:w="65" w:type="dxa"/>
          </w:tblCellMar>
        </w:tblPrEx>
        <w:trPr>
          <w:cantSplit/>
          <w:trHeight w:val="454" w:hRule="atLeast"/>
          <w:jc w:val="center"/>
        </w:trPr>
        <w:tc>
          <w:tcPr>
            <w:tcW w:w="727" w:type="pct"/>
            <w:shd w:val="clear" w:color="auto" w:fill="D8D8D8" w:themeFill="background1" w:themeFillShade="D9"/>
            <w:vAlign w:val="center"/>
          </w:tcPr>
          <w:p>
            <w:pPr>
              <w:ind w:right="49"/>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能源资源种类</w:t>
            </w:r>
          </w:p>
        </w:tc>
        <w:tc>
          <w:tcPr>
            <w:tcW w:w="680" w:type="pct"/>
            <w:shd w:val="clear" w:color="auto" w:fill="D8D8D8" w:themeFill="background1" w:themeFillShade="D9"/>
            <w:vAlign w:val="center"/>
          </w:tcPr>
          <w:p>
            <w:pPr>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消耗量</w:t>
            </w:r>
          </w:p>
        </w:tc>
        <w:tc>
          <w:tcPr>
            <w:tcW w:w="442" w:type="pct"/>
            <w:shd w:val="clear" w:color="auto" w:fill="D8D8D8" w:themeFill="background1" w:themeFillShade="D9"/>
            <w:vAlign w:val="center"/>
          </w:tcPr>
          <w:p>
            <w:pPr>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单位</w:t>
            </w:r>
          </w:p>
        </w:tc>
        <w:tc>
          <w:tcPr>
            <w:tcW w:w="884" w:type="pct"/>
            <w:shd w:val="clear" w:color="auto" w:fill="D8D8D8" w:themeFill="background1" w:themeFillShade="D9"/>
            <w:vAlign w:val="center"/>
          </w:tcPr>
          <w:p>
            <w:pPr>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数据来源</w:t>
            </w:r>
          </w:p>
        </w:tc>
        <w:tc>
          <w:tcPr>
            <w:tcW w:w="2265" w:type="pct"/>
            <w:shd w:val="clear" w:color="auto" w:fill="D8D8D8" w:themeFill="background1" w:themeFillShade="D9"/>
            <w:vAlign w:val="center"/>
          </w:tcPr>
          <w:p>
            <w:pPr>
              <w:jc w:val="center"/>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1" w:type="dxa"/>
            <w:left w:w="110" w:type="dxa"/>
            <w:bottom w:w="0" w:type="dxa"/>
            <w:right w:w="65" w:type="dxa"/>
          </w:tblCellMar>
        </w:tblPrEx>
        <w:trPr>
          <w:cantSplit/>
          <w:trHeight w:val="454" w:hRule="atLeast"/>
          <w:jc w:val="center"/>
        </w:trPr>
        <w:tc>
          <w:tcPr>
            <w:tcW w:w="727"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电力</w:t>
            </w:r>
          </w:p>
        </w:tc>
        <w:tc>
          <w:tcPr>
            <w:tcW w:w="680"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420812</w:t>
            </w:r>
          </w:p>
        </w:tc>
        <w:tc>
          <w:tcPr>
            <w:tcW w:w="442"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kWh</w:t>
            </w:r>
          </w:p>
        </w:tc>
        <w:tc>
          <w:tcPr>
            <w:tcW w:w="884" w:type="pct"/>
            <w:vAlign w:val="center"/>
          </w:tcPr>
          <w:p>
            <w:pPr>
              <w:ind w:right="5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企业电力消耗统计表</w:t>
            </w:r>
          </w:p>
        </w:tc>
        <w:tc>
          <w:tcPr>
            <w:tcW w:w="2265" w:type="pct"/>
            <w:vAlign w:val="center"/>
          </w:tcPr>
          <w:p>
            <w:pPr>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仙谭豆腐</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电力消耗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量=产品</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电力</w:t>
            </w:r>
            <w:r>
              <w:rPr>
                <w:rFonts w:hint="default" w:ascii="Times New Roman" w:hAnsi="Times New Roman" w:eastAsia="仿宋_GB2312" w:cs="Times New Roman"/>
                <w:color w:val="000000" w:themeColor="text1"/>
                <w:kern w:val="0"/>
                <w:sz w:val="24"/>
                <w:szCs w:val="24"/>
                <w14:textFill>
                  <w14:solidFill>
                    <w14:schemeClr w14:val="tx1"/>
                  </w14:solidFill>
                </w14:textFill>
              </w:rPr>
              <w:t>总</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量/生产</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1" w:type="dxa"/>
            <w:left w:w="110" w:type="dxa"/>
            <w:bottom w:w="0" w:type="dxa"/>
            <w:right w:w="65" w:type="dxa"/>
          </w:tblCellMar>
        </w:tblPrEx>
        <w:trPr>
          <w:cantSplit/>
          <w:trHeight w:val="454" w:hRule="atLeast"/>
          <w:jc w:val="center"/>
        </w:trPr>
        <w:tc>
          <w:tcPr>
            <w:tcW w:w="727"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蒸汽</w:t>
            </w:r>
          </w:p>
        </w:tc>
        <w:tc>
          <w:tcPr>
            <w:tcW w:w="680"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2989.98</w:t>
            </w:r>
          </w:p>
        </w:tc>
        <w:tc>
          <w:tcPr>
            <w:tcW w:w="442"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GJ</w:t>
            </w:r>
          </w:p>
        </w:tc>
        <w:tc>
          <w:tcPr>
            <w:tcW w:w="884" w:type="pct"/>
            <w:vAlign w:val="center"/>
          </w:tcPr>
          <w:p>
            <w:pPr>
              <w:ind w:right="5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企业</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蒸汽</w:t>
            </w:r>
            <w:r>
              <w:rPr>
                <w:rFonts w:hint="default" w:ascii="Times New Roman" w:hAnsi="Times New Roman" w:eastAsia="仿宋_GB2312" w:cs="Times New Roman"/>
                <w:color w:val="000000" w:themeColor="text1"/>
                <w:kern w:val="0"/>
                <w:sz w:val="24"/>
                <w:szCs w:val="24"/>
                <w14:textFill>
                  <w14:solidFill>
                    <w14:schemeClr w14:val="tx1"/>
                  </w14:solidFill>
                </w14:textFill>
              </w:rPr>
              <w:t>统计表</w:t>
            </w:r>
          </w:p>
        </w:tc>
        <w:tc>
          <w:tcPr>
            <w:tcW w:w="2265" w:type="pct"/>
            <w:vAlign w:val="center"/>
          </w:tcPr>
          <w:p>
            <w:pPr>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仙谭豆腐</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蒸汽消耗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量=产品</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蒸汽</w:t>
            </w:r>
            <w:r>
              <w:rPr>
                <w:rFonts w:hint="default" w:ascii="Times New Roman" w:hAnsi="Times New Roman" w:eastAsia="仿宋_GB2312" w:cs="Times New Roman"/>
                <w:color w:val="000000" w:themeColor="text1"/>
                <w:kern w:val="0"/>
                <w:sz w:val="24"/>
                <w:szCs w:val="24"/>
                <w14:textFill>
                  <w14:solidFill>
                    <w14:schemeClr w14:val="tx1"/>
                  </w14:solidFill>
                </w14:textFill>
              </w:rPr>
              <w:t>总</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量/生产</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1" w:type="dxa"/>
            <w:left w:w="110" w:type="dxa"/>
            <w:bottom w:w="0" w:type="dxa"/>
            <w:right w:w="65" w:type="dxa"/>
          </w:tblCellMar>
        </w:tblPrEx>
        <w:trPr>
          <w:cantSplit/>
          <w:trHeight w:val="454" w:hRule="atLeast"/>
          <w:jc w:val="center"/>
        </w:trPr>
        <w:tc>
          <w:tcPr>
            <w:tcW w:w="727"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w:t>
            </w:r>
          </w:p>
        </w:tc>
        <w:tc>
          <w:tcPr>
            <w:tcW w:w="680"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18857.44</w:t>
            </w:r>
          </w:p>
        </w:tc>
        <w:tc>
          <w:tcPr>
            <w:tcW w:w="442" w:type="pct"/>
            <w:vAlign w:val="center"/>
          </w:tcPr>
          <w:p>
            <w:pPr>
              <w:widowControl/>
              <w:jc w:val="center"/>
              <w:textAlignment w:val="center"/>
              <w:rPr>
                <w:rFonts w:hint="default" w:ascii="Times New Roman" w:hAnsi="Times New Roman" w:eastAsia="仿宋_GB2312" w:cs="Times New Roman"/>
                <w:color w:val="000000" w:themeColor="text1"/>
                <w:kern w:val="0"/>
                <w:sz w:val="24"/>
                <w:szCs w:val="24"/>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t</w:t>
            </w:r>
          </w:p>
        </w:tc>
        <w:tc>
          <w:tcPr>
            <w:tcW w:w="884" w:type="pct"/>
            <w:vAlign w:val="center"/>
          </w:tcPr>
          <w:p>
            <w:pPr>
              <w:ind w:right="50"/>
              <w:jc w:val="center"/>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企业用水消耗统计表</w:t>
            </w:r>
          </w:p>
        </w:tc>
        <w:tc>
          <w:tcPr>
            <w:tcW w:w="2265" w:type="pct"/>
            <w:vAlign w:val="center"/>
          </w:tcPr>
          <w:p>
            <w:pPr>
              <w:jc w:val="left"/>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m</w:t>
            </w:r>
            <w:r>
              <w:rPr>
                <w:rFonts w:hint="default"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仙谭豆腐</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水消耗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量=产品</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水</w:t>
            </w:r>
            <w:r>
              <w:rPr>
                <w:rFonts w:hint="default" w:ascii="Times New Roman" w:hAnsi="Times New Roman" w:eastAsia="仿宋_GB2312" w:cs="Times New Roman"/>
                <w:color w:val="000000" w:themeColor="text1"/>
                <w:kern w:val="0"/>
                <w:sz w:val="24"/>
                <w:szCs w:val="24"/>
                <w14:textFill>
                  <w14:solidFill>
                    <w14:schemeClr w14:val="tx1"/>
                  </w14:solidFill>
                </w14:textFill>
              </w:rPr>
              <w:t>总</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消耗</w:t>
            </w:r>
            <w:r>
              <w:rPr>
                <w:rFonts w:hint="default" w:ascii="Times New Roman" w:hAnsi="Times New Roman" w:eastAsia="仿宋_GB2312" w:cs="Times New Roman"/>
                <w:color w:val="000000" w:themeColor="text1"/>
                <w:kern w:val="0"/>
                <w:sz w:val="24"/>
                <w:szCs w:val="24"/>
                <w14:textFill>
                  <w14:solidFill>
                    <w14:schemeClr w14:val="tx1"/>
                  </w14:solidFill>
                </w14:textFill>
              </w:rPr>
              <w:t>量/生产</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重量</w:t>
            </w:r>
          </w:p>
        </w:tc>
      </w:tr>
    </w:tbl>
    <w:p>
      <w:pPr>
        <w:pStyle w:val="3"/>
        <w:rPr>
          <w:rFonts w:hint="default" w:ascii="Times New Roman" w:hAnsi="Times New Roman" w:cs="Times New Roman"/>
          <w:color w:val="000000" w:themeColor="text1"/>
          <w14:textFill>
            <w14:solidFill>
              <w14:schemeClr w14:val="tx1"/>
            </w14:solidFill>
          </w14:textFill>
        </w:rPr>
      </w:pPr>
      <w:bookmarkStart w:id="29" w:name="_Toc26849"/>
      <w:r>
        <w:rPr>
          <w:rFonts w:hint="default" w:ascii="Times New Roman" w:hAnsi="Times New Roman" w:cs="Times New Roman"/>
          <w:color w:val="000000" w:themeColor="text1"/>
          <w14:textFill>
            <w14:solidFill>
              <w14:schemeClr w14:val="tx1"/>
            </w14:solidFill>
          </w14:textFill>
        </w:rPr>
        <w:t>3.6 碳足迹特征化因子</w:t>
      </w:r>
      <w:bookmarkEnd w:id="29"/>
    </w:p>
    <w:p>
      <w:pPr>
        <w:pStyle w:val="19"/>
        <w:ind w:firstLine="56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本报告中，碳足迹特征化因子取自</w:t>
      </w:r>
      <w:r>
        <w:rPr>
          <w:rFonts w:hint="default" w:ascii="Times New Roman" w:hAnsi="Times New Roman" w:cs="Times New Roman"/>
          <w:color w:val="000000" w:themeColor="text1"/>
          <w:lang w:val="en-US" w:eastAsia="zh-CN"/>
          <w14:textFill>
            <w14:solidFill>
              <w14:schemeClr w14:val="tx1"/>
            </w14:solidFill>
          </w14:textFill>
        </w:rPr>
        <w:t>CPCD数据库和</w:t>
      </w:r>
      <w:r>
        <w:rPr>
          <w:rFonts w:hint="default" w:ascii="Times New Roman" w:hAnsi="Times New Roman" w:cs="Times New Roman"/>
          <w:color w:val="000000" w:themeColor="text1"/>
          <w14:textFill>
            <w14:solidFill>
              <w14:schemeClr w14:val="tx1"/>
            </w14:solidFill>
          </w14:textFill>
        </w:rPr>
        <w:t>Ecoinvent 数据库，优先选取中国（CN）的相关数据，在中国数据缺失时采用GLO、Row的数据进行替代。具体的碳足迹特征化因子取值如表3-5所示</w:t>
      </w:r>
      <w:r>
        <w:rPr>
          <w:rFonts w:hint="default" w:ascii="Times New Roman" w:hAnsi="Times New Roman" w:cs="Times New Roman"/>
          <w:color w:val="000000" w:themeColor="text1"/>
          <w:lang w:eastAsia="zh-CN"/>
          <w14:textFill>
            <w14:solidFill>
              <w14:schemeClr w14:val="tx1"/>
            </w14:solidFill>
          </w14:textFill>
        </w:rPr>
        <w:t>。</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表3-5碳足迹特征化因子取值</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485"/>
        <w:gridCol w:w="1605"/>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6" w:type="pct"/>
            <w:shd w:val="clear" w:color="auto" w:fill="D8D8D8" w:themeFill="background1" w:themeFillShade="D9"/>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t>清单物质名称</w:t>
            </w:r>
          </w:p>
        </w:tc>
        <w:tc>
          <w:tcPr>
            <w:tcW w:w="871" w:type="pct"/>
            <w:shd w:val="clear" w:color="auto" w:fill="D8D8D8" w:themeFill="background1" w:themeFillShade="D9"/>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t>碳足迹特征化因子值</w:t>
            </w:r>
          </w:p>
        </w:tc>
        <w:tc>
          <w:tcPr>
            <w:tcW w:w="942" w:type="pct"/>
            <w:shd w:val="clear" w:color="auto" w:fill="D8D8D8" w:themeFill="background1" w:themeFillShade="D9"/>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t>单位</w:t>
            </w:r>
          </w:p>
        </w:tc>
        <w:tc>
          <w:tcPr>
            <w:tcW w:w="2450" w:type="pct"/>
            <w:shd w:val="clear" w:color="auto" w:fill="D8D8D8" w:themeFill="background1" w:themeFillShade="D9"/>
            <w:noWrap/>
            <w:vAlign w:val="center"/>
          </w:tcPr>
          <w:p>
            <w:pPr>
              <w:widowControl/>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安徽豆</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0.61</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-eq/kg</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黄豆-中国(soybean-China)大豆（Soybean）作物类（crops）食品Food</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CPCD</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2"/>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卷膜</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3.1</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-eq/kg</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普通塑料（Average plastics）塑料（Plastic）包装材料（Packing material）{</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CPCD</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2"/>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pp包装盒</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2.57</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-eq/kg</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聚丙烯（PP, Polypropylene）塑料（Plastic）包装材料（Packing material）{</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CPCD</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电</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0.9620</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/kWh</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Electricity, low voltage（电力低压）{CN}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蒸汽</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0.0999</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w:t>
            </w: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/MJ</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heat, district or industrial, other than natural gas(热能-区域或工业的-天然气除外){CN-ZJ}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bidi="ar"/>
                <w14:textFill>
                  <w14:solidFill>
                    <w14:schemeClr w14:val="tx1"/>
                  </w14:solidFill>
                </w14:textFill>
              </w:rPr>
              <w:t>水</w:t>
            </w:r>
          </w:p>
        </w:tc>
        <w:tc>
          <w:tcPr>
            <w:tcW w:w="871" w:type="pct"/>
            <w:shd w:val="clear" w:color="auto" w:fill="auto"/>
            <w:noWrap/>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0.8557</w:t>
            </w:r>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-eq/t</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kern w:val="0"/>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Water supply; sewerage, waste management and remediation activities(集水、水处理与水供应) {GLO}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36"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卡车，平均</w:t>
            </w:r>
          </w:p>
        </w:tc>
        <w:tc>
          <w:tcPr>
            <w:tcW w:w="871"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bookmarkStart w:id="30" w:name="OLE_LINK3"/>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0.148</w:t>
            </w:r>
            <w:bookmarkEnd w:id="30"/>
          </w:p>
        </w:tc>
        <w:tc>
          <w:tcPr>
            <w:tcW w:w="942"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kgCO</w:t>
            </w:r>
            <w:r>
              <w:rPr>
                <w:rFonts w:hint="default" w:ascii="Times New Roman" w:hAnsi="Times New Roman" w:eastAsia="仿宋_GB2312" w:cs="Times New Roman"/>
                <w:color w:val="000000" w:themeColor="text1"/>
                <w:kern w:val="0"/>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-eq/（t·km）</w:t>
            </w:r>
          </w:p>
        </w:tc>
        <w:tc>
          <w:tcPr>
            <w:tcW w:w="2450" w:type="pct"/>
            <w:shd w:val="clear" w:color="auto" w:fill="auto"/>
            <w:vAlign w:val="center"/>
          </w:tcPr>
          <w:p>
            <w:pPr>
              <w:widowControl/>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Transport, freight, lorry, unspecified(运输-货运-货车-不再细分)</w:t>
            </w:r>
            <w:bookmarkStart w:id="31" w:name="OLE_LINK1"/>
            <w:r>
              <w:rPr>
                <w:rFonts w:hint="default" w:ascii="Times New Roman" w:hAnsi="Times New Roman" w:eastAsia="仿宋_GB2312" w:cs="Times New Roman"/>
                <w:color w:val="000000" w:themeColor="text1"/>
                <w:kern w:val="0"/>
                <w:sz w:val="24"/>
                <w:szCs w:val="24"/>
                <w:lang w:bidi="ar"/>
                <w14:textFill>
                  <w14:solidFill>
                    <w14:schemeClr w14:val="tx1"/>
                  </w14:solidFill>
                </w14:textFill>
              </w:rPr>
              <w:t>{GLO}</w:t>
            </w:r>
            <w:bookmarkEnd w:id="31"/>
          </w:p>
        </w:tc>
      </w:tr>
    </w:tbl>
    <w:p>
      <w:pPr>
        <w:pStyle w:val="2"/>
        <w:keepNext/>
        <w:keepLines/>
        <w:pageBreakBefore w:val="0"/>
        <w:widowControl w:val="0"/>
        <w:kinsoku/>
        <w:wordWrap/>
        <w:overflowPunct/>
        <w:topLinePunct w:val="0"/>
        <w:autoSpaceDE/>
        <w:autoSpaceDN/>
        <w:bidi w:val="0"/>
        <w:adjustRightInd/>
        <w:snapToGrid w:val="0"/>
        <w:spacing w:before="313" w:beforeLines="100" w:after="156"/>
        <w:textAlignment w:val="auto"/>
        <w:rPr>
          <w:rFonts w:hint="default" w:ascii="Times New Roman" w:hAnsi="Times New Roman" w:cs="Times New Roman"/>
          <w:color w:val="000000" w:themeColor="text1"/>
          <w14:textFill>
            <w14:solidFill>
              <w14:schemeClr w14:val="tx1"/>
            </w14:solidFill>
          </w14:textFill>
        </w:rPr>
      </w:pPr>
      <w:bookmarkStart w:id="32" w:name="_Toc30559"/>
      <w:r>
        <w:rPr>
          <w:rFonts w:hint="default" w:ascii="Times New Roman" w:hAnsi="Times New Roman" w:cs="Times New Roman"/>
          <w:color w:val="000000" w:themeColor="text1"/>
          <w14:textFill>
            <w14:solidFill>
              <w14:schemeClr w14:val="tx1"/>
            </w14:solidFill>
          </w14:textFill>
        </w:rPr>
        <w:t>4 碳足迹评价结果</w:t>
      </w:r>
      <w:bookmarkEnd w:id="32"/>
    </w:p>
    <w:p>
      <w:pPr>
        <w:pStyle w:val="3"/>
        <w:rPr>
          <w:rFonts w:hint="default" w:ascii="Times New Roman" w:hAnsi="Times New Roman" w:cs="Times New Roman"/>
          <w:color w:val="000000" w:themeColor="text1"/>
          <w14:textFill>
            <w14:solidFill>
              <w14:schemeClr w14:val="tx1"/>
            </w14:solidFill>
          </w14:textFill>
        </w:rPr>
      </w:pPr>
      <w:bookmarkStart w:id="33" w:name="_Toc7540"/>
      <w:r>
        <w:rPr>
          <w:rFonts w:hint="default" w:ascii="Times New Roman" w:hAnsi="Times New Roman" w:cs="Times New Roman"/>
          <w:color w:val="000000" w:themeColor="text1"/>
          <w14:textFill>
            <w14:solidFill>
              <w14:schemeClr w14:val="tx1"/>
            </w14:solidFill>
          </w14:textFill>
        </w:rPr>
        <w:t>4.1 碳足迹计算</w:t>
      </w:r>
      <w:bookmarkEnd w:id="33"/>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根据以上各项数据，对</w:t>
      </w:r>
      <w:bookmarkStart w:id="34" w:name="OLE_LINK5"/>
      <w:r>
        <w:rPr>
          <w:rFonts w:hint="default" w:ascii="Times New Roman" w:hAnsi="Times New Roman" w:cs="Times New Roman"/>
          <w:color w:val="000000" w:themeColor="text1"/>
          <w:szCs w:val="21"/>
          <w14:textFill>
            <w14:solidFill>
              <w14:schemeClr w14:val="tx1"/>
            </w14:solidFill>
          </w14:textFill>
        </w:rPr>
        <w:t>202</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lang w:val="en-US" w:eastAsia="zh-CN"/>
          <w14:textFill>
            <w14:solidFill>
              <w14:schemeClr w14:val="tx1"/>
            </w14:solidFill>
          </w14:textFill>
        </w:rPr>
        <w:t>12</w:t>
      </w:r>
      <w:r>
        <w:rPr>
          <w:rFonts w:hint="default" w:ascii="Times New Roman" w:hAnsi="Times New Roman" w:cs="Times New Roman"/>
          <w:color w:val="000000" w:themeColor="text1"/>
          <w:szCs w:val="21"/>
          <w:lang w:val="en-US" w:eastAsia="zh-CN"/>
          <w14:textFill>
            <w14:solidFill>
              <w14:schemeClr w14:val="tx1"/>
            </w14:solidFill>
          </w14:textFill>
        </w:rPr>
        <w:t>月</w:t>
      </w:r>
      <w:bookmarkEnd w:id="34"/>
      <w:r>
        <w:rPr>
          <w:rFonts w:hint="default" w:ascii="Times New Roman" w:hAnsi="Times New Roman" w:cs="Times New Roman"/>
          <w:color w:val="000000" w:themeColor="text1"/>
          <w:szCs w:val="21"/>
          <w14:textFill>
            <w14:solidFill>
              <w14:schemeClr w14:val="tx1"/>
            </w14:solidFill>
          </w14:textFill>
        </w:rPr>
        <w:t>生产1</w:t>
      </w:r>
      <w:r>
        <w:rPr>
          <w:rFonts w:hint="default" w:ascii="Times New Roman" w:hAnsi="Times New Roman" w:cs="Times New Roman"/>
          <w:color w:val="000000" w:themeColor="text1"/>
          <w:szCs w:val="21"/>
          <w:lang w:val="en-US" w:eastAsia="zh-CN"/>
          <w14:textFill>
            <w14:solidFill>
              <w14:schemeClr w14:val="tx1"/>
            </w14:solidFill>
          </w14:textFill>
        </w:rPr>
        <w:t>kg</w:t>
      </w:r>
      <w:r>
        <w:rPr>
          <w:rFonts w:hint="default" w:ascii="Times New Roman" w:hAnsi="Times New Roman" w:cs="Times New Roman"/>
          <w:color w:val="000000" w:themeColor="text1"/>
          <w:szCs w:val="21"/>
          <w:lang w:eastAsia="zh-CN"/>
          <w14:textFill>
            <w14:solidFill>
              <w14:schemeClr w14:val="tx1"/>
            </w14:solidFill>
          </w14:textFill>
        </w:rPr>
        <w:t>仙谭豆腐</w:t>
      </w:r>
      <w:r>
        <w:rPr>
          <w:rFonts w:hint="default" w:ascii="Times New Roman" w:hAnsi="Times New Roman" w:cs="Times New Roman"/>
          <w:color w:val="000000" w:themeColor="text1"/>
          <w:szCs w:val="21"/>
          <w14:textFill>
            <w14:solidFill>
              <w14:schemeClr w14:val="tx1"/>
            </w14:solidFill>
          </w14:textFill>
        </w:rPr>
        <w:t>的碳足迹进行核算</w:t>
      </w:r>
      <w:r>
        <w:rPr>
          <w:rFonts w:hint="default" w:ascii="Times New Roman" w:hAnsi="Times New Roman" w:cs="Times New Roman"/>
          <w:color w:val="000000" w:themeColor="text1"/>
          <w14:textFill>
            <w14:solidFill>
              <w14:schemeClr w14:val="tx1"/>
            </w14:solidFill>
          </w14:textFill>
        </w:rPr>
        <w:t>，结果如表4-1所示。</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 xml:space="preserve">表4-1 </w:t>
      </w:r>
      <w:r>
        <w:rPr>
          <w:rFonts w:hint="default" w:ascii="Times New Roman" w:hAnsi="Times New Roman" w:eastAsia="仿宋_GB2312" w:cs="Times New Roman"/>
          <w:b/>
          <w:bCs/>
          <w:color w:val="000000" w:themeColor="text1"/>
          <w:sz w:val="24"/>
          <w:szCs w:val="24"/>
          <w14:textFill>
            <w14:solidFill>
              <w14:schemeClr w14:val="tx1"/>
            </w14:solidFill>
          </w14:textFill>
        </w:rPr>
        <w:t>碳足迹</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计算表</w:t>
      </w:r>
    </w:p>
    <w:tbl>
      <w:tblPr>
        <w:tblW w:w="82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996"/>
        <w:gridCol w:w="1080"/>
        <w:gridCol w:w="229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blHeader/>
        </w:trPr>
        <w:tc>
          <w:tcPr>
            <w:tcW w:w="2996" w:type="dxa"/>
            <w:shd w:val="clear" w:color="auto" w:fill="D7D7D7" w:themeFill="background1" w:themeFillShade="D8"/>
            <w:noWrap/>
            <w:vAlign w:val="center"/>
          </w:tcPr>
          <w:p>
            <w:pPr>
              <w:widowControl/>
              <w:jc w:val="center"/>
              <w:textAlignment w:val="cente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阶段</w:t>
            </w:r>
          </w:p>
        </w:tc>
        <w:tc>
          <w:tcPr>
            <w:tcW w:w="1080" w:type="dxa"/>
            <w:shd w:val="clear" w:color="auto" w:fill="D7D7D7" w:themeFill="background1" w:themeFillShade="D8"/>
            <w:noWrap/>
            <w:vAlign w:val="center"/>
          </w:tcPr>
          <w:p>
            <w:pPr>
              <w:widowControl/>
              <w:jc w:val="center"/>
              <w:textAlignment w:val="cente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pPr>
          </w:p>
        </w:tc>
        <w:tc>
          <w:tcPr>
            <w:tcW w:w="2295" w:type="dxa"/>
            <w:shd w:val="clear" w:color="auto" w:fill="D7D7D7" w:themeFill="background1" w:themeFillShade="D8"/>
            <w:noWrap/>
            <w:vAlign w:val="center"/>
          </w:tcPr>
          <w:p>
            <w:pPr>
              <w:widowControl/>
              <w:jc w:val="center"/>
              <w:textAlignment w:val="cente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排放量（kgCO</w:t>
            </w:r>
            <w:r>
              <w:rPr>
                <w:rFonts w:hint="default" w:ascii="Times New Roman" w:hAnsi="Times New Roman" w:eastAsia="仿宋_GB2312" w:cs="Times New Roman"/>
                <w:b/>
                <w:bCs/>
                <w:color w:val="000000" w:themeColor="text1"/>
                <w:kern w:val="0"/>
                <w:sz w:val="24"/>
                <w:szCs w:val="24"/>
                <w:vertAlign w:val="subscript"/>
                <w:lang w:val="en-US" w:eastAsia="zh-CN" w:bidi="ar"/>
                <w14:textFill>
                  <w14:solidFill>
                    <w14:schemeClr w14:val="tx1"/>
                  </w14:solidFill>
                </w14:textFill>
              </w:rPr>
              <w:t>2</w:t>
            </w: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e）</w:t>
            </w:r>
          </w:p>
        </w:tc>
        <w:tc>
          <w:tcPr>
            <w:tcW w:w="1845" w:type="dxa"/>
            <w:shd w:val="clear" w:color="auto" w:fill="D7D7D7" w:themeFill="background1" w:themeFillShade="D8"/>
            <w:noWrap/>
            <w:vAlign w:val="center"/>
          </w:tcPr>
          <w:p>
            <w:pPr>
              <w:widowControl/>
              <w:jc w:val="center"/>
              <w:textAlignment w:val="cente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bidi="ar"/>
                <w14:textFill>
                  <w14:solidFill>
                    <w14:schemeClr w14:val="tx1"/>
                  </w14:solidFill>
                </w14:textFill>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restart"/>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原材料获取阶段</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安徽豆</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82.9552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盒子</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416.2051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卷膜</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13.9132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6" w:type="dxa"/>
            <w:gridSpan w:val="2"/>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原材料获取阶段小计</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513.0735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restart"/>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原材料运输阶段</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安徽豆</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7.9702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盒子</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1.7089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卷膜</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0.0689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6" w:type="dxa"/>
            <w:gridSpan w:val="2"/>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原材料运输阶段小计</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9.7480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restart"/>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生产阶段</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电</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0.4383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蒸汽</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0.3236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6" w:type="dxa"/>
            <w:vMerge w:val="continue"/>
            <w:tcBorders/>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水</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0.0175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6" w:type="dxa"/>
            <w:gridSpan w:val="2"/>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生产阶段小计</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0.7794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trPr>
        <w:tc>
          <w:tcPr>
            <w:tcW w:w="4076" w:type="dxa"/>
            <w:gridSpan w:val="2"/>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单位产品碳排放量kgCO</w:t>
            </w:r>
            <w:r>
              <w:rPr>
                <w:rFonts w:hint="default" w:ascii="Times New Roman" w:hAnsi="Times New Roman" w:eastAsia="仿宋_GB2312"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e</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523.6009 </w:t>
            </w:r>
          </w:p>
        </w:tc>
        <w:tc>
          <w:tcPr>
            <w:tcW w:w="0" w:type="auto"/>
            <w:shd w:val="clear"/>
            <w:noWrap/>
            <w:vAlign w:val="center"/>
          </w:tcPr>
          <w:p>
            <w:pPr>
              <w:widowControl/>
              <w:jc w:val="center"/>
              <w:textAlignment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100.00%</w:t>
            </w:r>
          </w:p>
        </w:tc>
      </w:tr>
    </w:tbl>
    <w:p>
      <w:pPr>
        <w:pStyle w:val="3"/>
        <w:keepNext/>
        <w:keepLines/>
        <w:pageBreakBefore w:val="0"/>
        <w:widowControl w:val="0"/>
        <w:kinsoku/>
        <w:wordWrap/>
        <w:overflowPunct/>
        <w:topLinePunct w:val="0"/>
        <w:autoSpaceDE/>
        <w:autoSpaceDN/>
        <w:bidi w:val="0"/>
        <w:adjustRightInd/>
        <w:snapToGrid/>
        <w:spacing w:before="313" w:beforeLines="100"/>
        <w:textAlignment w:val="auto"/>
        <w:rPr>
          <w:rFonts w:hint="default" w:ascii="Times New Roman" w:hAnsi="Times New Roman" w:cs="Times New Roman"/>
          <w:color w:val="000000" w:themeColor="text1"/>
          <w14:textFill>
            <w14:solidFill>
              <w14:schemeClr w14:val="tx1"/>
            </w14:solidFill>
          </w14:textFill>
        </w:rPr>
      </w:pPr>
      <w:bookmarkStart w:id="35" w:name="_Toc30329"/>
      <w:r>
        <w:rPr>
          <w:rFonts w:hint="default" w:ascii="Times New Roman" w:hAnsi="Times New Roman" w:cs="Times New Roman"/>
          <w:color w:val="000000" w:themeColor="text1"/>
          <w14:textFill>
            <w14:solidFill>
              <w14:schemeClr w14:val="tx1"/>
            </w14:solidFill>
          </w14:textFill>
        </w:rPr>
        <w:t>4.2 碳足迹分析</w:t>
      </w:r>
      <w:bookmarkEnd w:id="35"/>
    </w:p>
    <w:p>
      <w:pPr>
        <w:pStyle w:val="19"/>
        <w:ind w:firstLine="560"/>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在统计</w:t>
      </w:r>
      <w:r>
        <w:rPr>
          <w:rFonts w:hint="default" w:ascii="Times New Roman" w:hAnsi="Times New Roman" w:cs="Times New Roman"/>
          <w:color w:val="000000" w:themeColor="text1"/>
          <w:lang w:val="en-US" w:eastAsia="zh-CN"/>
          <w14:textFill>
            <w14:solidFill>
              <w14:schemeClr w14:val="tx1"/>
            </w14:solidFill>
          </w14:textFill>
        </w:rPr>
        <w:t>期</w:t>
      </w:r>
      <w:r>
        <w:rPr>
          <w:rFonts w:hint="default" w:ascii="Times New Roman" w:hAnsi="Times New Roman" w:cs="Times New Roman"/>
          <w:color w:val="000000" w:themeColor="text1"/>
          <w14:textFill>
            <w14:solidFill>
              <w14:schemeClr w14:val="tx1"/>
            </w14:solidFill>
          </w14:textFill>
        </w:rPr>
        <w:t>内</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202</w:t>
      </w:r>
      <w:r>
        <w:rPr>
          <w:rFonts w:hint="default" w:ascii="Times New Roman" w:hAnsi="Times New Roman" w:cs="Times New Roman"/>
          <w:color w:val="000000" w:themeColor="text1"/>
          <w:szCs w:val="21"/>
          <w:lang w:val="en-US" w:eastAsia="zh-CN"/>
          <w14:textFill>
            <w14:solidFill>
              <w14:schemeClr w14:val="tx1"/>
            </w14:solidFill>
          </w14:textFill>
        </w:rPr>
        <w:t>4</w:t>
      </w:r>
      <w:r>
        <w:rPr>
          <w:rFonts w:hint="default" w:ascii="Times New Roman" w:hAnsi="Times New Roman" w:cs="Times New Roman"/>
          <w:color w:val="000000" w:themeColor="text1"/>
          <w:szCs w:val="21"/>
          <w14:textFill>
            <w14:solidFill>
              <w14:schemeClr w14:val="tx1"/>
            </w14:solidFill>
          </w14:textFill>
        </w:rPr>
        <w:t>年</w:t>
      </w:r>
      <w:r>
        <w:rPr>
          <w:rFonts w:hint="default" w:ascii="Times New Roman" w:hAnsi="Times New Roman" w:cs="Times New Roman"/>
          <w:color w:val="000000" w:themeColor="text1"/>
          <w:szCs w:val="21"/>
          <w:lang w:val="en-US" w:eastAsia="zh-CN"/>
          <w14:textFill>
            <w14:solidFill>
              <w14:schemeClr w14:val="tx1"/>
            </w14:solidFill>
          </w14:textFill>
        </w:rPr>
        <w:t>7</w:t>
      </w:r>
      <w:r>
        <w:rPr>
          <w:rFonts w:hint="default" w:ascii="Times New Roman" w:hAnsi="Times New Roman" w:cs="Times New Roman"/>
          <w:color w:val="000000" w:themeColor="text1"/>
          <w:szCs w:val="21"/>
          <w:lang w:val="en-US" w:eastAsia="zh-CN"/>
          <w14:textFill>
            <w14:solidFill>
              <w14:schemeClr w14:val="tx1"/>
            </w14:solidFill>
          </w14:textFill>
        </w:rPr>
        <w:t>月至</w:t>
      </w:r>
      <w:r>
        <w:rPr>
          <w:rFonts w:hint="default" w:ascii="Times New Roman" w:hAnsi="Times New Roman" w:cs="Times New Roman"/>
          <w:color w:val="000000" w:themeColor="text1"/>
          <w:szCs w:val="21"/>
          <w:lang w:val="en-US" w:eastAsia="zh-CN"/>
          <w14:textFill>
            <w14:solidFill>
              <w14:schemeClr w14:val="tx1"/>
            </w14:solidFill>
          </w14:textFill>
        </w:rPr>
        <w:t>12</w:t>
      </w:r>
      <w:r>
        <w:rPr>
          <w:rFonts w:hint="default" w:ascii="Times New Roman" w:hAnsi="Times New Roman" w:cs="Times New Roman"/>
          <w:color w:val="000000" w:themeColor="text1"/>
          <w:szCs w:val="21"/>
          <w:lang w:val="en-US" w:eastAsia="zh-CN"/>
          <w14:textFill>
            <w14:solidFill>
              <w14:schemeClr w14:val="tx1"/>
            </w14:solidFill>
          </w14:textFill>
        </w:rPr>
        <w:t>月</w:t>
      </w:r>
      <w:r>
        <w:rPr>
          <w:rFonts w:hint="default" w:ascii="Times New Roman" w:hAnsi="Times New Roman" w:cs="Times New Roman"/>
          <w:color w:val="000000" w:themeColor="text1"/>
          <w:szCs w:val="2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，分析各生命周期阶段的碳排放足迹，</w:t>
      </w:r>
      <w:r>
        <w:rPr>
          <w:rFonts w:hint="default" w:ascii="Times New Roman" w:hAnsi="Times New Roman" w:cs="Times New Roman"/>
          <w:color w:val="000000" w:themeColor="text1"/>
          <w:lang w:eastAsia="zh-CN"/>
          <w14:textFill>
            <w14:solidFill>
              <w14:schemeClr w14:val="tx1"/>
            </w14:solidFill>
          </w14:textFill>
        </w:rPr>
        <w:t>仙谭豆腐</w:t>
      </w:r>
      <w:r>
        <w:rPr>
          <w:rFonts w:hint="default" w:ascii="Times New Roman" w:hAnsi="Times New Roman" w:cs="Times New Roman"/>
          <w:color w:val="000000" w:themeColor="text1"/>
          <w14:textFill>
            <w14:solidFill>
              <w14:schemeClr w14:val="tx1"/>
            </w14:solidFill>
          </w14:textFill>
        </w:rPr>
        <w:t>碳足迹指标如表4-2所示</w:t>
      </w:r>
      <w:r>
        <w:rPr>
          <w:rFonts w:hint="default" w:ascii="Times New Roman" w:hAnsi="Times New Roman" w:cs="Times New Roman"/>
          <w:color w:val="000000" w:themeColor="text1"/>
          <w:lang w:eastAsia="zh-CN"/>
          <w14:textFill>
            <w14:solidFill>
              <w14:schemeClr w14:val="tx1"/>
            </w14:solidFill>
          </w14:textFill>
        </w:rPr>
        <w:t>。</w:t>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 xml:space="preserve">表4-2 </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仙谭豆腐</w:t>
      </w:r>
      <w:r>
        <w:rPr>
          <w:rFonts w:hint="default" w:ascii="Times New Roman" w:hAnsi="Times New Roman" w:eastAsia="仿宋_GB2312" w:cs="Times New Roman"/>
          <w:b/>
          <w:bCs/>
          <w:color w:val="000000" w:themeColor="text1"/>
          <w:sz w:val="24"/>
          <w:szCs w:val="24"/>
          <w14:textFill>
            <w14:solidFill>
              <w14:schemeClr w14:val="tx1"/>
            </w14:solidFill>
          </w14:textFill>
        </w:rPr>
        <w:t>碳足迹指标</w:t>
      </w:r>
    </w:p>
    <w:tbl>
      <w:tblPr>
        <w:tblStyle w:val="11"/>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9"/>
        <w:gridCol w:w="1475"/>
        <w:gridCol w:w="1544"/>
        <w:gridCol w:w="124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399" w:type="dxa"/>
            <w:shd w:val="clear" w:color="auto" w:fill="D8D8D8" w:themeFill="background1" w:themeFillShade="D9"/>
            <w:vAlign w:val="center"/>
          </w:tcPr>
          <w:p>
            <w:pPr>
              <w:pStyle w:val="19"/>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生命周期阶段</w:t>
            </w:r>
          </w:p>
        </w:tc>
        <w:tc>
          <w:tcPr>
            <w:tcW w:w="1475" w:type="dxa"/>
            <w:shd w:val="clear" w:color="auto" w:fill="D8D8D8" w:themeFill="background1" w:themeFillShade="D9"/>
            <w:vAlign w:val="center"/>
          </w:tcPr>
          <w:p>
            <w:pPr>
              <w:pStyle w:val="19"/>
              <w:spacing w:line="240" w:lineRule="auto"/>
              <w:ind w:firstLine="0" w:firstLineChars="0"/>
              <w:jc w:val="cente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原材料</w:t>
            </w:r>
            <w:r>
              <w:rPr>
                <w:rFonts w:hint="default" w:ascii="Times New Roman" w:hAnsi="Times New Roman" w:cs="Times New Roman"/>
                <w:b/>
                <w:bCs/>
                <w:color w:val="000000" w:themeColor="text1"/>
                <w:sz w:val="24"/>
                <w:szCs w:val="24"/>
                <w:lang w:val="en-US" w:eastAsia="zh-CN"/>
                <w14:textFill>
                  <w14:solidFill>
                    <w14:schemeClr w14:val="tx1"/>
                  </w14:solidFill>
                </w14:textFill>
              </w:rPr>
              <w:t>获取</w:t>
            </w:r>
          </w:p>
        </w:tc>
        <w:tc>
          <w:tcPr>
            <w:tcW w:w="1544" w:type="dxa"/>
            <w:shd w:val="clear" w:color="auto" w:fill="D8D8D8" w:themeFill="background1" w:themeFillShade="D9"/>
            <w:vAlign w:val="center"/>
          </w:tcPr>
          <w:p>
            <w:pPr>
              <w:pStyle w:val="19"/>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原材料运输</w:t>
            </w:r>
          </w:p>
        </w:tc>
        <w:tc>
          <w:tcPr>
            <w:tcW w:w="1241" w:type="dxa"/>
            <w:shd w:val="clear" w:color="auto" w:fill="D8D8D8" w:themeFill="background1" w:themeFillShade="D9"/>
            <w:vAlign w:val="center"/>
          </w:tcPr>
          <w:p>
            <w:pPr>
              <w:pStyle w:val="19"/>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生产阶段</w:t>
            </w:r>
          </w:p>
        </w:tc>
        <w:tc>
          <w:tcPr>
            <w:tcW w:w="1142" w:type="dxa"/>
            <w:shd w:val="clear" w:color="auto" w:fill="D8D8D8" w:themeFill="background1" w:themeFillShade="D9"/>
            <w:vAlign w:val="center"/>
          </w:tcPr>
          <w:p>
            <w:pPr>
              <w:pStyle w:val="19"/>
              <w:spacing w:line="240" w:lineRule="auto"/>
              <w:ind w:firstLine="0" w:firstLineChars="0"/>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399" w:type="dxa"/>
            <w:vAlign w:val="center"/>
          </w:tcPr>
          <w:p>
            <w:pPr>
              <w:pStyle w:val="19"/>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1m</w:t>
            </w:r>
            <w:r>
              <w:rPr>
                <w:rFonts w:hint="default"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lang w:val="en-US" w:eastAsia="zh-CN"/>
                <w14:textFill>
                  <w14:solidFill>
                    <w14:schemeClr w14:val="tx1"/>
                  </w14:solidFill>
                </w14:textFill>
              </w:rPr>
              <w:t>仙谭豆腐</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碳足迹值</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kgCO</w:t>
            </w:r>
            <w:r>
              <w:rPr>
                <w:rFonts w:hint="default" w:ascii="Times New Roman" w:hAnsi="Times New Roman" w:eastAsia="仿宋_GB2312" w:cs="Times New Roman"/>
                <w:color w:val="000000" w:themeColor="text1"/>
                <w:sz w:val="24"/>
                <w:szCs w:val="24"/>
                <w:vertAlign w:val="sub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e</w:t>
            </w:r>
          </w:p>
        </w:tc>
        <w:tc>
          <w:tcPr>
            <w:tcW w:w="1475"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513.0735 </w:t>
            </w:r>
          </w:p>
        </w:tc>
        <w:tc>
          <w:tcPr>
            <w:tcW w:w="1544"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9.7480 </w:t>
            </w:r>
          </w:p>
        </w:tc>
        <w:tc>
          <w:tcPr>
            <w:tcW w:w="1241"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0.7794 </w:t>
            </w:r>
          </w:p>
        </w:tc>
        <w:tc>
          <w:tcPr>
            <w:tcW w:w="1142"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 xml:space="preserve">523.6009 </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399" w:type="dxa"/>
            <w:vAlign w:val="center"/>
          </w:tcPr>
          <w:p>
            <w:pPr>
              <w:pStyle w:val="19"/>
              <w:spacing w:line="240" w:lineRule="auto"/>
              <w:ind w:firstLine="0" w:firstLineChars="0"/>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比例</w:t>
            </w:r>
          </w:p>
        </w:tc>
        <w:tc>
          <w:tcPr>
            <w:tcW w:w="1475"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97.99%</w:t>
            </w:r>
          </w:p>
        </w:tc>
        <w:tc>
          <w:tcPr>
            <w:tcW w:w="1544"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1.86%</w:t>
            </w:r>
          </w:p>
        </w:tc>
        <w:tc>
          <w:tcPr>
            <w:tcW w:w="1241"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0.15%</w:t>
            </w:r>
          </w:p>
        </w:tc>
        <w:tc>
          <w:tcPr>
            <w:tcW w:w="1142" w:type="dxa"/>
            <w:vAlign w:val="center"/>
          </w:tcPr>
          <w:p>
            <w:pPr>
              <w:widowControl/>
              <w:jc w:val="cente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100.00%</w:t>
            </w:r>
          </w:p>
        </w:tc>
      </w:tr>
    </w:tbl>
    <w:p>
      <w:pPr>
        <w:pStyle w:val="19"/>
        <w:ind w:firstLine="0" w:firstLineChars="0"/>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 xml:space="preserve">图4-1 </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仙谭豆腐</w:t>
      </w:r>
      <w:r>
        <w:rPr>
          <w:rFonts w:hint="default" w:ascii="Times New Roman" w:hAnsi="Times New Roman" w:eastAsia="仿宋_GB2312" w:cs="Times New Roman"/>
          <w:b/>
          <w:bCs/>
          <w:color w:val="000000" w:themeColor="text1"/>
          <w:sz w:val="24"/>
          <w:szCs w:val="24"/>
          <w14:textFill>
            <w14:solidFill>
              <w14:schemeClr w14:val="tx1"/>
            </w14:solidFill>
          </w14:textFill>
        </w:rPr>
        <w:t>碳足迹各过程排放量占比</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从图可以看出，202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lang w:val="en-US" w:eastAsia="zh-CN"/>
          <w14:textFill>
            <w14:solidFill>
              <w14:schemeClr w14:val="tx1"/>
            </w14:solidFill>
          </w14:textFill>
        </w:rPr>
        <w:t>月-</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lang w:val="en-US" w:eastAsia="zh-CN"/>
          <w14:textFill>
            <w14:solidFill>
              <w14:schemeClr w14:val="tx1"/>
            </w14:solidFill>
          </w14:textFill>
        </w:rPr>
        <w:t>月</w:t>
      </w:r>
      <w:r>
        <w:rPr>
          <w:rFonts w:hint="default" w:ascii="Times New Roman" w:hAnsi="Times New Roman" w:cs="Times New Roman"/>
          <w:color w:val="000000" w:themeColor="text1"/>
          <w14:textFill>
            <w14:solidFill>
              <w14:schemeClr w14:val="tx1"/>
            </w14:solidFill>
          </w14:textFill>
        </w:rPr>
        <w:t>生产1</w:t>
      </w:r>
      <w:r>
        <w:rPr>
          <w:rFonts w:hint="default" w:ascii="Times New Roman" w:hAnsi="Times New Roman" w:cs="Times New Roman"/>
          <w:color w:val="000000" w:themeColor="text1"/>
          <w:lang w:val="en-US" w:eastAsia="zh-CN"/>
          <w14:textFill>
            <w14:solidFill>
              <w14:schemeClr w14:val="tx1"/>
            </w14:solidFill>
          </w14:textFill>
        </w:rPr>
        <w:t>kg</w:t>
      </w:r>
      <w:r>
        <w:rPr>
          <w:rFonts w:hint="default" w:ascii="Times New Roman" w:hAnsi="Times New Roman" w:cs="Times New Roman"/>
          <w:color w:val="000000" w:themeColor="text1"/>
          <w:lang w:eastAsia="zh-CN"/>
          <w14:textFill>
            <w14:solidFill>
              <w14:schemeClr w14:val="tx1"/>
            </w14:solidFill>
          </w14:textFill>
        </w:rPr>
        <w:t>仙谭豆腐</w:t>
      </w:r>
      <w:r>
        <w:rPr>
          <w:rFonts w:hint="default" w:ascii="Times New Roman" w:hAnsi="Times New Roman" w:cs="Times New Roman"/>
          <w:color w:val="000000" w:themeColor="text1"/>
          <w14:textFill>
            <w14:solidFill>
              <w14:schemeClr w14:val="tx1"/>
            </w14:solidFill>
          </w14:textFill>
        </w:rPr>
        <w:t>，原料</w:t>
      </w:r>
      <w:r>
        <w:rPr>
          <w:rFonts w:hint="default" w:ascii="Times New Roman" w:hAnsi="Times New Roman" w:cs="Times New Roman"/>
          <w:color w:val="000000" w:themeColor="text1"/>
          <w:lang w:val="en-US" w:eastAsia="zh-CN"/>
          <w14:textFill>
            <w14:solidFill>
              <w14:schemeClr w14:val="tx1"/>
            </w14:solidFill>
          </w14:textFill>
        </w:rPr>
        <w:t>获取</w:t>
      </w:r>
      <w:r>
        <w:rPr>
          <w:rFonts w:hint="default" w:ascii="Times New Roman" w:hAnsi="Times New Roman" w:cs="Times New Roman"/>
          <w:color w:val="000000" w:themeColor="text1"/>
          <w14:textFill>
            <w14:solidFill>
              <w14:schemeClr w14:val="tx1"/>
            </w14:solidFill>
          </w14:textFill>
        </w:rPr>
        <w:t>占生命周期碳足迹比重为9</w:t>
      </w:r>
      <w:r>
        <w:rPr>
          <w:rFonts w:hint="default" w:ascii="Times New Roman" w:hAnsi="Times New Roman" w:cs="Times New Roman"/>
          <w:color w:val="000000" w:themeColor="text1"/>
          <w:lang w:val="en-US" w:eastAsia="zh-CN"/>
          <w14:textFill>
            <w14:solidFill>
              <w14:schemeClr w14:val="tx1"/>
            </w14:solidFill>
          </w14:textFill>
        </w:rPr>
        <w:t>7.99</w:t>
      </w:r>
      <w:bookmarkStart w:id="39" w:name="_GoBack"/>
      <w:bookmarkEnd w:id="39"/>
      <w:r>
        <w:rPr>
          <w:rFonts w:hint="default" w:ascii="Times New Roman" w:hAnsi="Times New Roman" w:cs="Times New Roman"/>
          <w:color w:val="000000" w:themeColor="text1"/>
          <w14:textFill>
            <w14:solidFill>
              <w14:schemeClr w14:val="tx1"/>
            </w14:solidFill>
          </w14:textFill>
        </w:rPr>
        <w:t>%，生产阶段和原料运输阶段仅占</w:t>
      </w:r>
      <w:r>
        <w:rPr>
          <w:rFonts w:hint="default" w:ascii="Times New Roman" w:hAnsi="Times New Roman" w:cs="Times New Roman"/>
          <w:color w:val="000000" w:themeColor="text1"/>
          <w:lang w:val="en-US" w:eastAsia="zh-CN"/>
          <w14:textFill>
            <w14:solidFill>
              <w14:schemeClr w14:val="tx1"/>
            </w14:solidFill>
          </w14:textFill>
        </w:rPr>
        <w:t>2.01</w:t>
      </w:r>
      <w:r>
        <w:rPr>
          <w:rFonts w:hint="default" w:ascii="Times New Roman" w:hAnsi="Times New Roman" w:cs="Times New Roman"/>
          <w:color w:val="000000" w:themeColor="text1"/>
          <w14:textFill>
            <w14:solidFill>
              <w14:schemeClr w14:val="tx1"/>
            </w14:solidFill>
          </w14:textFill>
        </w:rPr>
        <w:t>%（其中生产阶段</w:t>
      </w:r>
      <w:r>
        <w:rPr>
          <w:rFonts w:hint="default" w:ascii="Times New Roman" w:hAnsi="Times New Roman" w:cs="Times New Roman"/>
          <w:color w:val="000000" w:themeColor="text1"/>
          <w:lang w:val="en-US" w:eastAsia="zh-CN"/>
          <w14:textFill>
            <w14:solidFill>
              <w14:schemeClr w14:val="tx1"/>
            </w14:solidFill>
          </w14:textFill>
        </w:rPr>
        <w:t>0.15</w:t>
      </w:r>
      <w:r>
        <w:rPr>
          <w:rFonts w:hint="default" w:ascii="Times New Roman" w:hAnsi="Times New Roman" w:cs="Times New Roman"/>
          <w:color w:val="000000" w:themeColor="text1"/>
          <w14:textFill>
            <w14:solidFill>
              <w14:schemeClr w14:val="tx1"/>
            </w14:solidFill>
          </w14:textFill>
        </w:rPr>
        <w:t>%，原料运输阶段</w:t>
      </w:r>
      <w:r>
        <w:rPr>
          <w:rFonts w:hint="default" w:ascii="Times New Roman" w:hAnsi="Times New Roman" w:cs="Times New Roman"/>
          <w:color w:val="000000" w:themeColor="text1"/>
          <w:lang w:val="en-US" w:eastAsia="zh-CN"/>
          <w14:textFill>
            <w14:solidFill>
              <w14:schemeClr w14:val="tx1"/>
            </w14:solidFill>
          </w14:textFill>
        </w:rPr>
        <w:t>1.86</w:t>
      </w:r>
      <w:r>
        <w:rPr>
          <w:rFonts w:hint="default" w:ascii="Times New Roman" w:hAnsi="Times New Roman" w:cs="Times New Roman"/>
          <w:color w:val="000000" w:themeColor="text1"/>
          <w14:textFill>
            <w14:solidFill>
              <w14:schemeClr w14:val="tx1"/>
            </w14:solidFill>
          </w14:textFill>
        </w:rPr>
        <w:t>%）。</w:t>
      </w:r>
    </w:p>
    <w:p>
      <w:pPr>
        <w:pStyle w:val="3"/>
        <w:rPr>
          <w:rFonts w:hint="default" w:ascii="Times New Roman" w:hAnsi="Times New Roman" w:cs="Times New Roman"/>
          <w:color w:val="000000" w:themeColor="text1"/>
          <w14:textFill>
            <w14:solidFill>
              <w14:schemeClr w14:val="tx1"/>
            </w14:solidFill>
          </w14:textFill>
        </w:rPr>
      </w:pPr>
      <w:bookmarkStart w:id="36" w:name="_Toc2515"/>
      <w:r>
        <w:rPr>
          <w:rFonts w:hint="default" w:ascii="Times New Roman" w:hAnsi="Times New Roman" w:cs="Times New Roman"/>
          <w:color w:val="000000" w:themeColor="text1"/>
          <w14:textFill>
            <w14:solidFill>
              <w14:schemeClr w14:val="tx1"/>
            </w14:solidFill>
          </w14:textFill>
        </w:rPr>
        <w:t>4.3 完整性和一致性检查</w:t>
      </w:r>
      <w:bookmarkEnd w:id="36"/>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本报告依据</w:t>
      </w:r>
      <w:r>
        <w:rPr>
          <w:rFonts w:hint="default" w:ascii="Times New Roman" w:hAnsi="Times New Roman" w:cs="Times New Roman"/>
          <w:color w:val="000000" w:themeColor="text1"/>
          <w14:textFill>
            <w14:solidFill>
              <w14:schemeClr w14:val="tx1"/>
            </w14:solidFill>
          </w14:textFill>
        </w:rPr>
        <w:t>ISO 14067</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2018</w:t>
      </w:r>
      <w:r>
        <w:rPr>
          <w:rFonts w:hint="default" w:ascii="Times New Roman" w:hAnsi="Times New Roman" w:cs="Times New Roman"/>
          <w:color w:val="000000" w:themeColor="text1"/>
          <w14:textFill>
            <w14:solidFill>
              <w14:schemeClr w14:val="tx1"/>
            </w14:solidFill>
          </w14:textFill>
        </w:rPr>
        <w:t>对产品的碳足迹评价过程进行了完整性检查和一致性检查。</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该产品碳足迹评价过程完全依据企业实际的生产情况开展，所填报的各个过程清单数据来自企业的生产报表、采购票据等凭证，所有数据收集没有遗漏，取舍和分配均已做出说明，满足生命周期评价的完整性要求。</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本报告一致性检查结果同样复合要求，说明如下：</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a) 数据收集范围与系统边界一致；</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b) 背景过程对数据库参数的选取与供应商的能源、资源的生产工艺一致，运输参数的选取与运输方式相一致；</w:t>
      </w:r>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c) 背景过程能源数据精确到所在省，其余参数也尽量接近所在地域，时间上也统一选择最接近评价年度的数据；</w:t>
      </w:r>
    </w:p>
    <w:p>
      <w:pPr>
        <w:pStyle w:val="19"/>
        <w:ind w:firstLine="56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d) 使用了一致的分配原则：标的产品产量在各工段同时期所有产品总产量的占比。</w:t>
      </w:r>
    </w:p>
    <w:p>
      <w:pPr>
        <w:pStyle w:val="2"/>
        <w:keepNext/>
        <w:keepLines/>
        <w:pageBreakBefore w:val="0"/>
        <w:widowControl w:val="0"/>
        <w:kinsoku/>
        <w:wordWrap/>
        <w:overflowPunct/>
        <w:topLinePunct w:val="0"/>
        <w:autoSpaceDE/>
        <w:autoSpaceDN/>
        <w:bidi w:val="0"/>
        <w:adjustRightInd/>
        <w:snapToGrid w:val="0"/>
        <w:spacing w:before="313" w:beforeLines="100" w:after="156"/>
        <w:textAlignment w:val="auto"/>
        <w:rPr>
          <w:rFonts w:hint="default" w:ascii="Times New Roman" w:hAnsi="Times New Roman" w:cs="Times New Roman"/>
          <w:color w:val="000000" w:themeColor="text1"/>
          <w14:textFill>
            <w14:solidFill>
              <w14:schemeClr w14:val="tx1"/>
            </w14:solidFill>
          </w14:textFill>
        </w:rPr>
      </w:pPr>
      <w:bookmarkStart w:id="37" w:name="_Toc13305"/>
      <w:r>
        <w:rPr>
          <w:rFonts w:hint="default" w:ascii="Times New Roman" w:hAnsi="Times New Roman" w:cs="Times New Roman"/>
          <w:color w:val="000000" w:themeColor="text1"/>
          <w14:textFill>
            <w14:solidFill>
              <w14:schemeClr w14:val="tx1"/>
            </w14:solidFill>
          </w14:textFill>
        </w:rPr>
        <w:t>5 结论与建议</w:t>
      </w:r>
      <w:bookmarkEnd w:id="37"/>
    </w:p>
    <w:p>
      <w:pPr>
        <w:pStyle w:val="19"/>
        <w:ind w:firstLine="56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通过数据收集和建模计算，</w:t>
      </w:r>
      <w:r>
        <w:rPr>
          <w:rFonts w:hint="default" w:ascii="Times New Roman" w:hAnsi="Times New Roman" w:cs="Times New Roman"/>
          <w:color w:val="000000" w:themeColor="text1"/>
          <w:szCs w:val="21"/>
          <w:lang w:val="en-US" w:eastAsia="zh-CN"/>
          <w14:textFill>
            <w14:solidFill>
              <w14:schemeClr w14:val="tx1"/>
            </w14:solidFill>
          </w14:textFill>
        </w:rPr>
        <w:t>浙江莫干山食业有限公司</w:t>
      </w:r>
      <w:r>
        <w:rPr>
          <w:rFonts w:hint="default" w:ascii="Times New Roman" w:hAnsi="Times New Roman" w:cs="Times New Roman"/>
          <w:color w:val="000000" w:themeColor="text1"/>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7</w:t>
      </w:r>
      <w:r>
        <w:rPr>
          <w:rFonts w:hint="default" w:ascii="Times New Roman" w:hAnsi="Times New Roman" w:cs="Times New Roman"/>
          <w:color w:val="000000" w:themeColor="text1"/>
          <w14:textFill>
            <w14:solidFill>
              <w14:schemeClr w14:val="tx1"/>
            </w14:solidFill>
          </w14:textFill>
        </w:rPr>
        <w:t>月1日至202</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年</w:t>
      </w:r>
      <w:r>
        <w:rPr>
          <w:rFonts w:hint="default" w:ascii="Times New Roman" w:hAnsi="Times New Roman" w:cs="Times New Roman"/>
          <w:color w:val="000000" w:themeColor="text1"/>
          <w:lang w:val="en-US" w:eastAsia="zh-CN"/>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月</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日期间生产的1</w:t>
      </w:r>
      <w:r>
        <w:rPr>
          <w:rFonts w:hint="default" w:ascii="Times New Roman" w:hAnsi="Times New Roman" w:cs="Times New Roman"/>
          <w:color w:val="000000" w:themeColor="text1"/>
          <w:lang w:val="en-US" w:eastAsia="zh-CN"/>
          <w14:textFill>
            <w14:solidFill>
              <w14:schemeClr w14:val="tx1"/>
            </w14:solidFill>
          </w14:textFill>
        </w:rPr>
        <w:t>kg</w:t>
      </w:r>
      <w:r>
        <w:rPr>
          <w:rFonts w:hint="default" w:ascii="Times New Roman" w:hAnsi="Times New Roman" w:cs="Times New Roman"/>
          <w:color w:val="000000" w:themeColor="text1"/>
          <w:szCs w:val="21"/>
          <w:lang w:eastAsia="zh-CN"/>
          <w14:textFill>
            <w14:solidFill>
              <w14:schemeClr w14:val="tx1"/>
            </w14:solidFill>
          </w14:textFill>
        </w:rPr>
        <w:t>仙谭豆腐</w:t>
      </w:r>
      <w:r>
        <w:rPr>
          <w:rFonts w:hint="default" w:ascii="Times New Roman" w:hAnsi="Times New Roman" w:cs="Times New Roman"/>
          <w:color w:val="000000" w:themeColor="text1"/>
          <w14:textFill>
            <w14:solidFill>
              <w14:schemeClr w14:val="tx1"/>
            </w14:solidFill>
          </w14:textFill>
        </w:rPr>
        <w:t>的碳足迹为523.6009 kgCO</w:t>
      </w:r>
      <w:r>
        <w:rPr>
          <w:rFonts w:hint="default" w:ascii="Times New Roman" w:hAnsi="Times New Roman" w:cs="Times New Roman"/>
          <w:color w:val="000000" w:themeColor="text1"/>
          <w:vertAlign w:val="subscript"/>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e。其中原材料获取对产品的生命周期碳足迹的贡献最大，占比9</w:t>
      </w:r>
      <w:r>
        <w:rPr>
          <w:rFonts w:hint="default" w:ascii="Times New Roman" w:hAnsi="Times New Roman" w:cs="Times New Roman"/>
          <w:color w:val="000000" w:themeColor="text1"/>
          <w:lang w:val="en-US" w:eastAsia="zh-CN"/>
          <w14:textFill>
            <w14:solidFill>
              <w14:schemeClr w14:val="tx1"/>
            </w14:solidFill>
          </w14:textFill>
        </w:rPr>
        <w:t>7.99</w:t>
      </w:r>
      <w:r>
        <w:rPr>
          <w:rFonts w:hint="default" w:ascii="Times New Roman" w:hAnsi="Times New Roman" w:cs="Times New Roman"/>
          <w:color w:val="000000" w:themeColor="text1"/>
          <w14:textFill>
            <w14:solidFill>
              <w14:schemeClr w14:val="tx1"/>
            </w14:solidFill>
          </w14:textFill>
        </w:rPr>
        <w:t>%；其次是运输阶段对产品的生命周期碳足迹的贡献比为</w:t>
      </w:r>
      <w:r>
        <w:rPr>
          <w:rFonts w:hint="default" w:ascii="Times New Roman" w:hAnsi="Times New Roman" w:cs="Times New Roman"/>
          <w:color w:val="000000" w:themeColor="text1"/>
          <w:lang w:val="en-US" w:eastAsia="zh-CN"/>
          <w14:textFill>
            <w14:solidFill>
              <w14:schemeClr w14:val="tx1"/>
            </w14:solidFill>
          </w14:textFill>
        </w:rPr>
        <w:t>1.86</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生产</w:t>
      </w:r>
      <w:r>
        <w:rPr>
          <w:rFonts w:hint="default" w:ascii="Times New Roman" w:hAnsi="Times New Roman" w:cs="Times New Roman"/>
          <w:color w:val="000000" w:themeColor="text1"/>
          <w14:textFill>
            <w14:solidFill>
              <w14:schemeClr w14:val="tx1"/>
            </w14:solidFill>
          </w14:textFill>
        </w:rPr>
        <w:t>阶段对产品碳足迹的贡献最小，仅为</w:t>
      </w:r>
      <w:r>
        <w:rPr>
          <w:rFonts w:hint="default" w:ascii="Times New Roman" w:hAnsi="Times New Roman" w:cs="Times New Roman"/>
          <w:color w:val="000000" w:themeColor="text1"/>
          <w:lang w:val="en-US" w:eastAsia="zh-CN"/>
          <w14:textFill>
            <w14:solidFill>
              <w14:schemeClr w14:val="tx1"/>
            </w14:solidFill>
          </w14:textFill>
        </w:rPr>
        <w:t>0.15</w:t>
      </w:r>
      <w:r>
        <w:rPr>
          <w:rFonts w:hint="default" w:ascii="Times New Roman" w:hAnsi="Times New Roman" w:cs="Times New Roman"/>
          <w:color w:val="000000" w:themeColor="text1"/>
          <w14:textFill>
            <w14:solidFill>
              <w14:schemeClr w14:val="tx1"/>
            </w14:solidFill>
          </w14:textFill>
        </w:rPr>
        <w:t>%。</w:t>
      </w:r>
    </w:p>
    <w:p>
      <w:pPr>
        <w:pStyle w:val="19"/>
        <w:ind w:firstLine="560"/>
        <w:rPr>
          <w:rFonts w:hint="default" w:ascii="Times New Roman" w:hAnsi="Times New Roman" w:cs="Times New Roman"/>
          <w:color w:val="000000" w:themeColor="text1"/>
          <w14:textFill>
            <w14:solidFill>
              <w14:schemeClr w14:val="tx1"/>
            </w14:solidFill>
          </w14:textFill>
        </w:rPr>
      </w:pPr>
      <w:bookmarkStart w:id="38" w:name="OLE_LINK19"/>
      <w:r>
        <w:rPr>
          <w:rFonts w:hint="default" w:ascii="Times New Roman" w:hAnsi="Times New Roman" w:cs="Times New Roman"/>
          <w:color w:val="000000" w:themeColor="text1"/>
          <w14:textFill>
            <w14:solidFill>
              <w14:schemeClr w14:val="tx1"/>
            </w14:solidFill>
          </w14:textFill>
        </w:rPr>
        <w:t>本报告按照</w:t>
      </w:r>
      <w:r>
        <w:rPr>
          <w:rFonts w:hint="default" w:ascii="Times New Roman" w:hAnsi="Times New Roman" w:cs="Times New Roman"/>
          <w:color w:val="000000" w:themeColor="text1"/>
          <w14:textFill>
            <w14:solidFill>
              <w14:schemeClr w14:val="tx1"/>
            </w14:solidFill>
          </w14:textFill>
        </w:rPr>
        <w:t>PAS</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2050</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2011、ISO</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14067</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2018、GB/T</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24040-2008、GB/T</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24044-2008</w:t>
      </w:r>
      <w:r>
        <w:rPr>
          <w:rFonts w:hint="default" w:ascii="Times New Roman" w:hAnsi="Times New Roman" w:cs="Times New Roman"/>
          <w:color w:val="000000" w:themeColor="text1"/>
          <w14:textFill>
            <w14:solidFill>
              <w14:schemeClr w14:val="tx1"/>
            </w14:solidFill>
          </w14:textFill>
        </w:rPr>
        <w:t>的要求执行，检查了数据的完整性、一致性，确保提供的数据对企业、第三方机构、其他环境管理机构及公众而言，均较为可靠的评价结论。</w:t>
      </w:r>
      <w:bookmarkEnd w:id="38"/>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887742"/>
      <w:docPartObj>
        <w:docPartGallery w:val="autotext"/>
      </w:docPartObj>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0467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84876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GZkYTI0YThkYWVmOGZhZGQ2NDM5NTQ0N2I0ZDcifQ=="/>
  </w:docVars>
  <w:rsids>
    <w:rsidRoot w:val="002E715F"/>
    <w:rsid w:val="000006EE"/>
    <w:rsid w:val="00000A05"/>
    <w:rsid w:val="00003D9C"/>
    <w:rsid w:val="00020A75"/>
    <w:rsid w:val="000246E7"/>
    <w:rsid w:val="0005254D"/>
    <w:rsid w:val="00055F38"/>
    <w:rsid w:val="00062CA2"/>
    <w:rsid w:val="000667BD"/>
    <w:rsid w:val="00090B37"/>
    <w:rsid w:val="00092F14"/>
    <w:rsid w:val="00095D92"/>
    <w:rsid w:val="000A383F"/>
    <w:rsid w:val="000B2F78"/>
    <w:rsid w:val="000B3549"/>
    <w:rsid w:val="000B5419"/>
    <w:rsid w:val="000C4B4D"/>
    <w:rsid w:val="000C7D48"/>
    <w:rsid w:val="000D1500"/>
    <w:rsid w:val="000E61DD"/>
    <w:rsid w:val="001102C2"/>
    <w:rsid w:val="00114631"/>
    <w:rsid w:val="00120D74"/>
    <w:rsid w:val="001217FC"/>
    <w:rsid w:val="001269D3"/>
    <w:rsid w:val="00137898"/>
    <w:rsid w:val="00160550"/>
    <w:rsid w:val="0016300C"/>
    <w:rsid w:val="00163FF6"/>
    <w:rsid w:val="001851F0"/>
    <w:rsid w:val="00187D19"/>
    <w:rsid w:val="00193E04"/>
    <w:rsid w:val="001A1788"/>
    <w:rsid w:val="001B1513"/>
    <w:rsid w:val="001C267F"/>
    <w:rsid w:val="001D38CB"/>
    <w:rsid w:val="00241609"/>
    <w:rsid w:val="00257C41"/>
    <w:rsid w:val="00262FDB"/>
    <w:rsid w:val="0027081C"/>
    <w:rsid w:val="00270BC0"/>
    <w:rsid w:val="002719CE"/>
    <w:rsid w:val="00287052"/>
    <w:rsid w:val="002936F1"/>
    <w:rsid w:val="002B0410"/>
    <w:rsid w:val="002C7CC1"/>
    <w:rsid w:val="002D6256"/>
    <w:rsid w:val="002D70CD"/>
    <w:rsid w:val="002E715F"/>
    <w:rsid w:val="003034CA"/>
    <w:rsid w:val="00303D9F"/>
    <w:rsid w:val="00313C97"/>
    <w:rsid w:val="003165F3"/>
    <w:rsid w:val="00330780"/>
    <w:rsid w:val="003500E1"/>
    <w:rsid w:val="00364DA4"/>
    <w:rsid w:val="00377849"/>
    <w:rsid w:val="00382576"/>
    <w:rsid w:val="003925A0"/>
    <w:rsid w:val="00397894"/>
    <w:rsid w:val="003A7866"/>
    <w:rsid w:val="003B15BA"/>
    <w:rsid w:val="003B5B4E"/>
    <w:rsid w:val="003C1095"/>
    <w:rsid w:val="003C410A"/>
    <w:rsid w:val="003D3D7D"/>
    <w:rsid w:val="003E2678"/>
    <w:rsid w:val="003E39DB"/>
    <w:rsid w:val="003F51D4"/>
    <w:rsid w:val="004005C7"/>
    <w:rsid w:val="00400E55"/>
    <w:rsid w:val="00412558"/>
    <w:rsid w:val="004173F3"/>
    <w:rsid w:val="0042486B"/>
    <w:rsid w:val="004267F2"/>
    <w:rsid w:val="00430E3A"/>
    <w:rsid w:val="00434052"/>
    <w:rsid w:val="0044286F"/>
    <w:rsid w:val="00445A09"/>
    <w:rsid w:val="004576FB"/>
    <w:rsid w:val="00462076"/>
    <w:rsid w:val="00463D67"/>
    <w:rsid w:val="00474DAC"/>
    <w:rsid w:val="0047703A"/>
    <w:rsid w:val="004850E4"/>
    <w:rsid w:val="00494B2C"/>
    <w:rsid w:val="004A57C2"/>
    <w:rsid w:val="004B575B"/>
    <w:rsid w:val="004D513C"/>
    <w:rsid w:val="004D66BB"/>
    <w:rsid w:val="004F570B"/>
    <w:rsid w:val="004F6951"/>
    <w:rsid w:val="00567FB9"/>
    <w:rsid w:val="005823A2"/>
    <w:rsid w:val="005A029F"/>
    <w:rsid w:val="005A4CFA"/>
    <w:rsid w:val="005A4F46"/>
    <w:rsid w:val="005B5F96"/>
    <w:rsid w:val="005E73E8"/>
    <w:rsid w:val="005F062D"/>
    <w:rsid w:val="005F4465"/>
    <w:rsid w:val="006022A5"/>
    <w:rsid w:val="00607096"/>
    <w:rsid w:val="00611B0D"/>
    <w:rsid w:val="00621C79"/>
    <w:rsid w:val="00623ECF"/>
    <w:rsid w:val="00636464"/>
    <w:rsid w:val="00644EA1"/>
    <w:rsid w:val="006514F3"/>
    <w:rsid w:val="00654E55"/>
    <w:rsid w:val="006657BE"/>
    <w:rsid w:val="00672323"/>
    <w:rsid w:val="00682673"/>
    <w:rsid w:val="006A5E6D"/>
    <w:rsid w:val="006B750E"/>
    <w:rsid w:val="006C681D"/>
    <w:rsid w:val="006D1E6B"/>
    <w:rsid w:val="006E108B"/>
    <w:rsid w:val="006E3C3B"/>
    <w:rsid w:val="006F3C34"/>
    <w:rsid w:val="00710711"/>
    <w:rsid w:val="00720529"/>
    <w:rsid w:val="00730C85"/>
    <w:rsid w:val="00751546"/>
    <w:rsid w:val="00753524"/>
    <w:rsid w:val="00763D31"/>
    <w:rsid w:val="007665EA"/>
    <w:rsid w:val="00786212"/>
    <w:rsid w:val="00790E12"/>
    <w:rsid w:val="00795198"/>
    <w:rsid w:val="007B5FAB"/>
    <w:rsid w:val="007B6923"/>
    <w:rsid w:val="007C463E"/>
    <w:rsid w:val="007D518C"/>
    <w:rsid w:val="007F10A6"/>
    <w:rsid w:val="007F436C"/>
    <w:rsid w:val="00810788"/>
    <w:rsid w:val="008359C0"/>
    <w:rsid w:val="00850D47"/>
    <w:rsid w:val="00876AA2"/>
    <w:rsid w:val="00887BA9"/>
    <w:rsid w:val="008A4AD4"/>
    <w:rsid w:val="008B64B9"/>
    <w:rsid w:val="008E29C7"/>
    <w:rsid w:val="008E7434"/>
    <w:rsid w:val="008F6803"/>
    <w:rsid w:val="00907E33"/>
    <w:rsid w:val="00920616"/>
    <w:rsid w:val="00933AC2"/>
    <w:rsid w:val="009626B5"/>
    <w:rsid w:val="00962D39"/>
    <w:rsid w:val="00965A7A"/>
    <w:rsid w:val="009A11A7"/>
    <w:rsid w:val="009A57B4"/>
    <w:rsid w:val="009C5723"/>
    <w:rsid w:val="009D4084"/>
    <w:rsid w:val="009E3AB5"/>
    <w:rsid w:val="00A134EC"/>
    <w:rsid w:val="00A221E2"/>
    <w:rsid w:val="00A27B5B"/>
    <w:rsid w:val="00A35D7D"/>
    <w:rsid w:val="00A37CDA"/>
    <w:rsid w:val="00A436EB"/>
    <w:rsid w:val="00A53BA3"/>
    <w:rsid w:val="00A57143"/>
    <w:rsid w:val="00A73AE7"/>
    <w:rsid w:val="00A81071"/>
    <w:rsid w:val="00A90A7C"/>
    <w:rsid w:val="00AB3B4D"/>
    <w:rsid w:val="00AB65D9"/>
    <w:rsid w:val="00AE305E"/>
    <w:rsid w:val="00AF30F6"/>
    <w:rsid w:val="00AF48BE"/>
    <w:rsid w:val="00AF494A"/>
    <w:rsid w:val="00B01598"/>
    <w:rsid w:val="00B10E2A"/>
    <w:rsid w:val="00B24681"/>
    <w:rsid w:val="00B31441"/>
    <w:rsid w:val="00B4341B"/>
    <w:rsid w:val="00B53810"/>
    <w:rsid w:val="00B568D1"/>
    <w:rsid w:val="00B719E0"/>
    <w:rsid w:val="00B748B0"/>
    <w:rsid w:val="00B909EE"/>
    <w:rsid w:val="00B97B0C"/>
    <w:rsid w:val="00BA2C3A"/>
    <w:rsid w:val="00BA491B"/>
    <w:rsid w:val="00BB4838"/>
    <w:rsid w:val="00BB51F1"/>
    <w:rsid w:val="00BC73F0"/>
    <w:rsid w:val="00BD31DA"/>
    <w:rsid w:val="00BE34E1"/>
    <w:rsid w:val="00BF304E"/>
    <w:rsid w:val="00C061A7"/>
    <w:rsid w:val="00C06E1C"/>
    <w:rsid w:val="00C11318"/>
    <w:rsid w:val="00C13652"/>
    <w:rsid w:val="00C13EE6"/>
    <w:rsid w:val="00C154FB"/>
    <w:rsid w:val="00C226A9"/>
    <w:rsid w:val="00C247C8"/>
    <w:rsid w:val="00C3265A"/>
    <w:rsid w:val="00C34436"/>
    <w:rsid w:val="00C3584A"/>
    <w:rsid w:val="00C61E75"/>
    <w:rsid w:val="00C73D1E"/>
    <w:rsid w:val="00C900A2"/>
    <w:rsid w:val="00CA25FC"/>
    <w:rsid w:val="00CA52B1"/>
    <w:rsid w:val="00CB2AD2"/>
    <w:rsid w:val="00CB30F0"/>
    <w:rsid w:val="00CB6F76"/>
    <w:rsid w:val="00CC3E8C"/>
    <w:rsid w:val="00CC7DBA"/>
    <w:rsid w:val="00CD4C98"/>
    <w:rsid w:val="00D07351"/>
    <w:rsid w:val="00D117E8"/>
    <w:rsid w:val="00D26559"/>
    <w:rsid w:val="00D33AEB"/>
    <w:rsid w:val="00D8627D"/>
    <w:rsid w:val="00D91E62"/>
    <w:rsid w:val="00DC4F95"/>
    <w:rsid w:val="00DC674F"/>
    <w:rsid w:val="00DD2A53"/>
    <w:rsid w:val="00E0270D"/>
    <w:rsid w:val="00E03995"/>
    <w:rsid w:val="00E15F55"/>
    <w:rsid w:val="00E379EF"/>
    <w:rsid w:val="00E51AAC"/>
    <w:rsid w:val="00E807D1"/>
    <w:rsid w:val="00E90086"/>
    <w:rsid w:val="00EA303C"/>
    <w:rsid w:val="00EA4124"/>
    <w:rsid w:val="00EB449B"/>
    <w:rsid w:val="00EF20B8"/>
    <w:rsid w:val="00EF51D1"/>
    <w:rsid w:val="00F021BF"/>
    <w:rsid w:val="00F276B7"/>
    <w:rsid w:val="00F65504"/>
    <w:rsid w:val="00F67A09"/>
    <w:rsid w:val="00F701E1"/>
    <w:rsid w:val="00F77D40"/>
    <w:rsid w:val="00F92DB0"/>
    <w:rsid w:val="00F92F32"/>
    <w:rsid w:val="00F93751"/>
    <w:rsid w:val="00FA119A"/>
    <w:rsid w:val="00FA18C3"/>
    <w:rsid w:val="00FA49BE"/>
    <w:rsid w:val="00FB141D"/>
    <w:rsid w:val="00FF05F0"/>
    <w:rsid w:val="0EDE2109"/>
    <w:rsid w:val="10A478ED"/>
    <w:rsid w:val="10E20B40"/>
    <w:rsid w:val="1C774AE2"/>
    <w:rsid w:val="23AE7240"/>
    <w:rsid w:val="27B27833"/>
    <w:rsid w:val="2DCB764A"/>
    <w:rsid w:val="3E012549"/>
    <w:rsid w:val="56707008"/>
    <w:rsid w:val="5A6B1FE8"/>
    <w:rsid w:val="5B5163B3"/>
    <w:rsid w:val="5E82330B"/>
    <w:rsid w:val="5ED15115"/>
    <w:rsid w:val="64136EE0"/>
    <w:rsid w:val="649E67D1"/>
    <w:rsid w:val="64C41992"/>
    <w:rsid w:val="6D5A5C84"/>
    <w:rsid w:val="6EE47EE2"/>
    <w:rsid w:val="7825439D"/>
    <w:rsid w:val="7B1C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9"/>
    <w:pPr>
      <w:keepNext/>
      <w:keepLines/>
      <w:snapToGrid w:val="0"/>
      <w:spacing w:after="50" w:afterLines="50"/>
      <w:outlineLvl w:val="0"/>
    </w:pPr>
    <w:rPr>
      <w:rFonts w:ascii="Times New Roman" w:hAnsi="Times New Roman" w:eastAsia="仿宋_GB2312"/>
      <w:b/>
      <w:bCs/>
      <w:kern w:val="44"/>
      <w:sz w:val="32"/>
      <w:szCs w:val="44"/>
    </w:rPr>
  </w:style>
  <w:style w:type="paragraph" w:styleId="3">
    <w:name w:val="heading 2"/>
    <w:basedOn w:val="1"/>
    <w:next w:val="1"/>
    <w:link w:val="20"/>
    <w:autoRedefine/>
    <w:unhideWhenUsed/>
    <w:qFormat/>
    <w:uiPriority w:val="9"/>
    <w:pPr>
      <w:keepNext/>
      <w:keepLines/>
      <w:spacing w:line="360" w:lineRule="auto"/>
      <w:outlineLvl w:val="1"/>
    </w:pPr>
    <w:rPr>
      <w:rFonts w:ascii="Times New Roman" w:hAnsi="Times New Roman" w:eastAsia="仿宋_GB2312" w:cstheme="majorBidi"/>
      <w:b/>
      <w:bCs/>
      <w:sz w:val="28"/>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8"/>
    <w:autoRedefine/>
    <w:unhideWhenUsed/>
    <w:qFormat/>
    <w:uiPriority w:val="99"/>
    <w:pPr>
      <w:jc w:val="left"/>
    </w:p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tabs>
        <w:tab w:val="right" w:leader="dot" w:pos="8296"/>
      </w:tabs>
      <w:spacing w:line="360" w:lineRule="auto"/>
      <w:ind w:left="420" w:leftChars="200"/>
    </w:pPr>
  </w:style>
  <w:style w:type="paragraph" w:styleId="9">
    <w:name w:val="annotation subject"/>
    <w:basedOn w:val="4"/>
    <w:next w:val="4"/>
    <w:link w:val="29"/>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character" w:customStyle="1" w:styleId="15">
    <w:name w:val="页眉 字符"/>
    <w:basedOn w:val="12"/>
    <w:link w:val="6"/>
    <w:autoRedefine/>
    <w:qFormat/>
    <w:uiPriority w:val="99"/>
    <w:rPr>
      <w:sz w:val="18"/>
      <w:szCs w:val="18"/>
    </w:rPr>
  </w:style>
  <w:style w:type="character" w:customStyle="1" w:styleId="16">
    <w:name w:val="页脚 字符"/>
    <w:basedOn w:val="12"/>
    <w:link w:val="5"/>
    <w:autoRedefine/>
    <w:qFormat/>
    <w:uiPriority w:val="99"/>
    <w:rPr>
      <w:sz w:val="18"/>
      <w:szCs w:val="18"/>
    </w:rPr>
  </w:style>
  <w:style w:type="table" w:customStyle="1" w:styleId="17">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8">
    <w:name w:val="标题 1 字符"/>
    <w:basedOn w:val="12"/>
    <w:link w:val="2"/>
    <w:qFormat/>
    <w:uiPriority w:val="9"/>
    <w:rPr>
      <w:rFonts w:ascii="Times New Roman" w:hAnsi="Times New Roman" w:eastAsia="仿宋_GB2312"/>
      <w:b/>
      <w:bCs/>
      <w:kern w:val="44"/>
      <w:sz w:val="32"/>
      <w:szCs w:val="44"/>
    </w:rPr>
  </w:style>
  <w:style w:type="paragraph" w:styleId="19">
    <w:name w:val="No Spacing"/>
    <w:autoRedefine/>
    <w:qFormat/>
    <w:uiPriority w:val="1"/>
    <w:pPr>
      <w:widowControl w:val="0"/>
      <w:spacing w:line="360" w:lineRule="auto"/>
      <w:ind w:firstLine="200" w:firstLineChars="200"/>
      <w:jc w:val="both"/>
    </w:pPr>
    <w:rPr>
      <w:rFonts w:ascii="Times New Roman" w:hAnsi="Times New Roman" w:eastAsia="仿宋_GB2312" w:cstheme="minorBidi"/>
      <w:kern w:val="2"/>
      <w:sz w:val="28"/>
      <w:szCs w:val="22"/>
      <w:lang w:val="en-US" w:eastAsia="zh-CN" w:bidi="ar-SA"/>
    </w:rPr>
  </w:style>
  <w:style w:type="character" w:customStyle="1" w:styleId="20">
    <w:name w:val="标题 2 字符"/>
    <w:basedOn w:val="12"/>
    <w:link w:val="3"/>
    <w:autoRedefine/>
    <w:qFormat/>
    <w:uiPriority w:val="9"/>
    <w:rPr>
      <w:rFonts w:ascii="Times New Roman" w:hAnsi="Times New Roman" w:eastAsia="仿宋_GB2312" w:cstheme="majorBidi"/>
      <w:b/>
      <w:bCs/>
      <w:sz w:val="28"/>
      <w:szCs w:val="32"/>
    </w:rPr>
  </w:style>
  <w:style w:type="paragraph" w:styleId="21">
    <w:name w:val="List Paragraph"/>
    <w:basedOn w:val="1"/>
    <w:qFormat/>
    <w:uiPriority w:val="34"/>
    <w:pPr>
      <w:ind w:firstLine="420" w:firstLineChars="200"/>
    </w:pPr>
  </w:style>
  <w:style w:type="table" w:customStyle="1" w:styleId="22">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23">
    <w:name w:val="font31"/>
    <w:basedOn w:val="12"/>
    <w:qFormat/>
    <w:uiPriority w:val="0"/>
    <w:rPr>
      <w:rFonts w:hint="default" w:ascii="Times New Roman" w:hAnsi="Times New Roman" w:cs="Times New Roman"/>
      <w:color w:val="000000"/>
      <w:sz w:val="28"/>
      <w:szCs w:val="28"/>
      <w:u w:val="none"/>
      <w:vertAlign w:val="superscript"/>
    </w:rPr>
  </w:style>
  <w:style w:type="character" w:customStyle="1" w:styleId="24">
    <w:name w:val="font71"/>
    <w:basedOn w:val="12"/>
    <w:autoRedefine/>
    <w:qFormat/>
    <w:uiPriority w:val="0"/>
    <w:rPr>
      <w:rFonts w:hint="eastAsia" w:ascii="宋体" w:hAnsi="宋体" w:eastAsia="宋体" w:cs="宋体"/>
      <w:color w:val="000000"/>
      <w:sz w:val="22"/>
      <w:szCs w:val="22"/>
      <w:u w:val="none"/>
    </w:rPr>
  </w:style>
  <w:style w:type="character" w:customStyle="1" w:styleId="25">
    <w:name w:val="font81"/>
    <w:basedOn w:val="12"/>
    <w:autoRedefine/>
    <w:qFormat/>
    <w:uiPriority w:val="0"/>
    <w:rPr>
      <w:rFonts w:hint="default" w:ascii="Times New Roman" w:hAnsi="Times New Roman" w:cs="Times New Roman"/>
      <w:color w:val="000000"/>
      <w:sz w:val="22"/>
      <w:szCs w:val="22"/>
      <w:u w:val="none"/>
      <w:vertAlign w:val="superscript"/>
    </w:rPr>
  </w:style>
  <w:style w:type="paragraph" w:customStyle="1" w:styleId="26">
    <w:name w:val="TOC Heading"/>
    <w:basedOn w:val="2"/>
    <w:next w:val="1"/>
    <w:autoRedefine/>
    <w:unhideWhenUsed/>
    <w:qFormat/>
    <w:uiPriority w:val="39"/>
    <w:pPr>
      <w:widowControl/>
      <w:snapToGrid/>
      <w:spacing w:before="24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27">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2"/>
    <w:link w:val="4"/>
    <w:autoRedefine/>
    <w:qFormat/>
    <w:uiPriority w:val="99"/>
  </w:style>
  <w:style w:type="character" w:customStyle="1" w:styleId="29">
    <w:name w:val="批注主题 字符"/>
    <w:basedOn w:val="28"/>
    <w:link w:val="9"/>
    <w:autoRedefine/>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CZW\3.&#32511;&#33394;&#24037;&#21378;\1.&#33707;&#24178;&#23665;&#39135;&#19994;-4&#26143;\&#38468;&#20214;36-&#30899;&#36275;&#36857;&#25910;&#3616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1"/>
              <c:layout>
                <c:manualLayout>
                  <c:x val="-0.0618757058324225"/>
                  <c:y val="0.0053677968853659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1212406779153"/>
                  <c:y val="0.008846323607490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'[附件36-碳足迹收资(1).xlsx]Sheet5'!$G$1:$I$1</c:f>
              <c:strCache>
                <c:ptCount val="3"/>
                <c:pt idx="0">
                  <c:v>原材料获取</c:v>
                </c:pt>
                <c:pt idx="1">
                  <c:v>原材料运输</c:v>
                </c:pt>
                <c:pt idx="2">
                  <c:v>生产阶段</c:v>
                </c:pt>
              </c:strCache>
            </c:strRef>
          </c:cat>
          <c:val>
            <c:numRef>
              <c:f>'[附件36-碳足迹收资(1).xlsx]Sheet5'!$G$3:$I$3</c:f>
              <c:numCache>
                <c:formatCode>0.00%</c:formatCode>
                <c:ptCount val="3"/>
                <c:pt idx="0">
                  <c:v>0.9799</c:v>
                </c:pt>
                <c:pt idx="1">
                  <c:v>0.0186</c:v>
                </c:pt>
                <c:pt idx="2">
                  <c:v>0.0015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1297-1F6B-428F-89B3-C578BF31AA78}">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1829</Words>
  <Characters>10426</Characters>
  <Lines>86</Lines>
  <Paragraphs>24</Paragraphs>
  <TotalTime>23</TotalTime>
  <ScaleCrop>false</ScaleCrop>
  <LinksUpToDate>false</LinksUpToDate>
  <CharactersWithSpaces>12231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2023-06-16T07:14:00Z</dcterms:created>
  <dc:creator>user</dc:creator>
  <cp:lastModifiedBy>杨</cp:lastModifiedBy>
  <dcterms:modified xsi:type="dcterms:W3CDTF">2025-03-18T01:15:47Z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76585485DA404C79AB618CFB6D04707A_13</vt:lpwstr>
  </property>
</Properties>
</file>