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浙江莫干山食业有限公司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温室气体排放报告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报告主体（盖章）：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浙江莫干山食业有限公司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报告年度：202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编制日期：202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本报告主体包含1个行业，其在202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年度温室气体排放总量为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3511.36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吨CO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，现将有关情况报告如下：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0"/>
        <w:gridCol w:w="2358"/>
        <w:gridCol w:w="1140"/>
        <w:gridCol w:w="327"/>
        <w:gridCol w:w="713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报告主体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浙江莫干山食业有限公司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C1392豆制品制造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报告年度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宋永良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91330521147114192N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shd w:val="clear"/>
                <w14:textFill>
                  <w14:solidFill>
                    <w14:schemeClr w14:val="tx1"/>
                  </w14:solidFill>
                </w14:textFill>
              </w:rPr>
              <w:t>湖州市德清县新市镇工业园区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朱泉根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13819252629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投告主体边界说明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浙江莫干山食业有限公司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位于湖州市德清县新市镇工业园区所在厂区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为边界，核算和报告边界内所有生产设施产生的溫室气体排放。生产设施范围包括主要生产系统、辅助生产系统以及附属生产系统。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产能变化情况说明 （与上年度相比）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年主要产品为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豆干、豆腐等豆制品产值共6050万元。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3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主要工艺流程说明</w:t>
            </w:r>
          </w:p>
        </w:tc>
        <w:tc>
          <w:tcPr>
            <w:tcW w:w="6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生产工艺：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选料：豆制品的质量好坏，很大程度上取决于原料的品质。因此，制作豆制品的原料应颗粒饱满、无霉变、无虫蛀、无杂质，并经充分的洗涤，以减少微生物对成品的污染。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浸泡：据气温变化、黄豆质量、生产速度准确掌握浸豆时间，一般春、秋季气温在10～12℃，浸泡12～15小时；夏季气温在28～33℃，浸泡5～7小时；冬季气温在0℃，浸泡20～24小时。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磨浆：磨豆前，先将砂轮磨豆斗插板关死。先开启加水阀，再启动砂轮磨待磨糊滚出来后，用手指感觉磨糊粗细是否均匀，颗粒大小是否合适。再确定是否需加大或减少进豆量。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离：当磨糊槽内有一定数量的磨糊后。离心筛空戴启动，符运转正常后再启动进料泵，并控制泵出口进料阀，使磨糊由少至多进入离心筛，视从离心筛内流出的豆渣干湿，调整进料阀开启度，以豆渣内含湿浆较少为好。离心筛内置过滤网网孔以（80～100）目为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煮浆：煮浆温度一般为98度以上，并在此温度上保持一分钟左右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才能放浆。内酯豆腐烧浆必须在100度以上，并加盖闷浆1～2分钟才能放浆。产生泡沫时，可适量加入食用消泡剂。热处理和热变性是大豆蛋白质发生胶凝作用的前提，也是提高豆腐坯产量的一种有效方法；同时通过煮浆可消除生理有害因子，清除大豆异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二、温室气体排放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公司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在202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年度温室气体排放总量为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3511.36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吨CO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当量，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净购入使用电力产生的排放量为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1400.68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吨CO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净购入使用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热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力产生的排放量为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2110.68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吨CO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三、活动水平数据及来源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消耗电力是从供电公司购入的电量，购入电量以财务结算发票为准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。消耗蒸汽折算热力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从供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热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公司购入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以财务结算发票为准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排放因子数据及来源说明</w:t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表1报告主体排放活动水平数据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196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源类别</w:t>
            </w:r>
          </w:p>
        </w:tc>
        <w:tc>
          <w:tcPr>
            <w:tcW w:w="11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燃料品种</w:t>
            </w:r>
          </w:p>
        </w:tc>
        <w:tc>
          <w:tcPr>
            <w:tcW w:w="13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净购入的电力</w:t>
            </w:r>
          </w:p>
        </w:tc>
        <w:tc>
          <w:tcPr>
            <w:tcW w:w="11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电力购入量</w:t>
            </w:r>
          </w:p>
        </w:tc>
        <w:tc>
          <w:tcPr>
            <w:tcW w:w="13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267万kWh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净购入的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热力</w:t>
            </w:r>
          </w:p>
        </w:tc>
        <w:tc>
          <w:tcPr>
            <w:tcW w:w="11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力购入量</w:t>
            </w:r>
          </w:p>
        </w:tc>
        <w:tc>
          <w:tcPr>
            <w:tcW w:w="13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19188GJ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表2报告主体排放活动水平数据</w:t>
      </w:r>
    </w:p>
    <w:tbl>
      <w:tblPr>
        <w:tblStyle w:val="4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566"/>
        <w:gridCol w:w="176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源类别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燃料品种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碳排放因子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二氧化碳排放量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净购入的电力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0.5246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/MWh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1400.68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净购入的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热力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蒸汽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/GJ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2110.68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表 3报告主体温室气体排放总量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2304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38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源类别</w:t>
            </w:r>
          </w:p>
        </w:tc>
        <w:tc>
          <w:tcPr>
            <w:tcW w:w="2304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温室气体本身质量</w:t>
            </w:r>
          </w:p>
        </w:tc>
        <w:tc>
          <w:tcPr>
            <w:tcW w:w="2846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温室气体 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当量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88" w:type="dxa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购入的电力和热力产生的CO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3511.36</w:t>
            </w:r>
          </w:p>
        </w:tc>
        <w:tc>
          <w:tcPr>
            <w:tcW w:w="2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692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企业温室气体排放总量(tCO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4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3511.36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五、其它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希望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说明的情况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本报告真实、可靠，如报吿中的信息与实际情况不符，本企业将承担相应的法律责任。</w:t>
      </w:r>
    </w:p>
    <w:p>
      <w:pPr>
        <w:widowControl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1CDC2"/>
    <w:multiLevelType w:val="singleLevel"/>
    <w:tmpl w:val="1E91CD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ZkYTI0YThkYWVmOGZhZGQ2NDM5NTQ0N2I0ZDcifQ=="/>
  </w:docVars>
  <w:rsids>
    <w:rsidRoot w:val="14F51C02"/>
    <w:rsid w:val="006C1BE1"/>
    <w:rsid w:val="00D1235B"/>
    <w:rsid w:val="00DE6F85"/>
    <w:rsid w:val="00EC023B"/>
    <w:rsid w:val="00F4308E"/>
    <w:rsid w:val="03472E16"/>
    <w:rsid w:val="044274E2"/>
    <w:rsid w:val="102B64CB"/>
    <w:rsid w:val="11C22224"/>
    <w:rsid w:val="14F51C02"/>
    <w:rsid w:val="1BD4672E"/>
    <w:rsid w:val="2F00417C"/>
    <w:rsid w:val="41CB6354"/>
    <w:rsid w:val="446B63F4"/>
    <w:rsid w:val="5291025F"/>
    <w:rsid w:val="73E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autoRedefine/>
    <w:qFormat/>
    <w:uiPriority w:val="0"/>
    <w:pPr>
      <w:spacing w:after="300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7">
    <w:name w:val="font51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8">
    <w:name w:val="图片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1286</Words>
  <Characters>1430</Characters>
  <Lines>25</Lines>
  <Paragraphs>7</Paragraphs>
  <TotalTime>2</TotalTime>
  <ScaleCrop>false</ScaleCrop>
  <LinksUpToDate>false</LinksUpToDate>
  <CharactersWithSpaces>1509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2022-08-16T18:57:00Z</dcterms:created>
  <dc:creator>糖衣小番茄</dc:creator>
  <cp:lastModifiedBy>杨</cp:lastModifiedBy>
  <dcterms:modified xsi:type="dcterms:W3CDTF">2025-03-17T09:26:22Z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3D7DCB9640DF412AA7A6E682362CEA4D_13</vt:lpwstr>
  </property>
</Properties>
</file>